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B365A9">
      <w:pPr>
        <w:widowControl/>
        <w:autoSpaceDE/>
        <w:autoSpaceDN/>
        <w:adjustRightInd/>
        <w:spacing w:after="105" w:line="276" w:lineRule="auto"/>
        <w:ind w:left="6372" w:firstLine="708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B365A9">
      <w:pPr>
        <w:widowControl/>
        <w:autoSpaceDE/>
        <w:autoSpaceDN/>
        <w:adjustRightInd/>
        <w:spacing w:after="105" w:line="276" w:lineRule="auto"/>
        <w:ind w:left="7080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E3" w:rsidRDefault="00D070E3" w:rsidP="008D238D">
      <w:r>
        <w:separator/>
      </w:r>
    </w:p>
  </w:endnote>
  <w:endnote w:type="continuationSeparator" w:id="0">
    <w:p w:rsidR="00D070E3" w:rsidRDefault="00D070E3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E3" w:rsidRDefault="00D070E3" w:rsidP="008D238D">
      <w:r>
        <w:separator/>
      </w:r>
    </w:p>
  </w:footnote>
  <w:footnote w:type="continuationSeparator" w:id="0">
    <w:p w:rsidR="00D070E3" w:rsidRDefault="00D070E3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365A9">
      <w:rPr>
        <w:rFonts w:asciiTheme="minorHAnsi" w:hAnsiTheme="minorHAnsi" w:cstheme="minorHAnsi"/>
        <w:b/>
        <w:sz w:val="22"/>
        <w:szCs w:val="24"/>
      </w:rPr>
      <w:t>Europejska Akademia Handlu i Przedsiębiorczości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C85134" w:rsidRPr="00F50405">
      <w:rPr>
        <w:b/>
        <w:sz w:val="22"/>
        <w:szCs w:val="24"/>
      </w:rPr>
      <w:t>„</w:t>
    </w:r>
    <w:r w:rsidR="00B365A9">
      <w:rPr>
        <w:b/>
        <w:sz w:val="22"/>
        <w:szCs w:val="24"/>
      </w:rPr>
      <w:t xml:space="preserve">Księgowość w małej firmie – jak samodzielnie prowadzić podatkową księgę przychodów </w:t>
    </w:r>
    <w:r w:rsidR="00B365A9">
      <w:rPr>
        <w:b/>
        <w:sz w:val="22"/>
        <w:szCs w:val="24"/>
      </w:rPr>
      <w:br/>
      <w:t>i rozchodów</w:t>
    </w:r>
    <w:r w:rsidR="00C85134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95603"/>
    <w:rsid w:val="005F6652"/>
    <w:rsid w:val="00606444"/>
    <w:rsid w:val="006879A7"/>
    <w:rsid w:val="0069560A"/>
    <w:rsid w:val="006C627A"/>
    <w:rsid w:val="006C6CD2"/>
    <w:rsid w:val="00701B73"/>
    <w:rsid w:val="00761A4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8F5D18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65A9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070E3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POWP</cp:lastModifiedBy>
  <cp:revision>2</cp:revision>
  <cp:lastPrinted>2020-03-05T09:22:00Z</cp:lastPrinted>
  <dcterms:created xsi:type="dcterms:W3CDTF">2021-05-14T15:01:00Z</dcterms:created>
  <dcterms:modified xsi:type="dcterms:W3CDTF">2021-05-14T15:01:00Z</dcterms:modified>
</cp:coreProperties>
</file>