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512" w:rsidRDefault="00EA4D32" w:rsidP="000C3252">
      <w:pPr>
        <w:jc w:val="right"/>
      </w:pPr>
      <w:r>
        <w:rPr>
          <w:noProof/>
          <w:color w:val="000000"/>
          <w:lang w:eastAsia="pl-PL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9040" cy="1092835"/>
            <wp:effectExtent l="0" t="0" r="3810" b="0"/>
            <wp:wrapTopAndBottom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92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D4A20" w:rsidRDefault="006D4A20" w:rsidP="00171512">
      <w:pPr>
        <w:ind w:firstLine="709"/>
        <w:jc w:val="both"/>
      </w:pPr>
    </w:p>
    <w:p w:rsidR="000C3252" w:rsidRDefault="000C3252" w:rsidP="00171512">
      <w:pPr>
        <w:ind w:firstLine="709"/>
        <w:jc w:val="both"/>
      </w:pPr>
    </w:p>
    <w:p w:rsidR="000C3252" w:rsidRDefault="000C3252" w:rsidP="00171512">
      <w:pPr>
        <w:ind w:firstLine="709"/>
        <w:jc w:val="both"/>
      </w:pPr>
    </w:p>
    <w:p w:rsidR="006D4A20" w:rsidRDefault="006D4A20" w:rsidP="00171512">
      <w:pPr>
        <w:ind w:firstLine="709"/>
        <w:jc w:val="both"/>
      </w:pPr>
    </w:p>
    <w:p w:rsidR="00171512" w:rsidRPr="00FC330D" w:rsidRDefault="00FC330D" w:rsidP="00171512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44"/>
        </w:rPr>
      </w:pPr>
      <w:r>
        <w:rPr>
          <w:b/>
          <w:smallCaps/>
          <w:sz w:val="44"/>
        </w:rPr>
        <w:t>Analiza Z</w:t>
      </w:r>
      <w:r w:rsidR="00171512" w:rsidRPr="00FC330D">
        <w:rPr>
          <w:b/>
          <w:smallCaps/>
          <w:sz w:val="44"/>
        </w:rPr>
        <w:t xml:space="preserve">apotrzebowania </w:t>
      </w:r>
      <w:r w:rsidR="00171512" w:rsidRPr="00FC330D">
        <w:rPr>
          <w:b/>
          <w:smallCaps/>
          <w:sz w:val="44"/>
        </w:rPr>
        <w:br/>
      </w:r>
      <w:r>
        <w:rPr>
          <w:b/>
          <w:smallCaps/>
          <w:sz w:val="44"/>
        </w:rPr>
        <w:t>R</w:t>
      </w:r>
      <w:r w:rsidR="00171512" w:rsidRPr="00FC330D">
        <w:rPr>
          <w:b/>
          <w:smallCaps/>
          <w:sz w:val="44"/>
        </w:rPr>
        <w:t xml:space="preserve">egionalnego </w:t>
      </w:r>
      <w:r>
        <w:rPr>
          <w:b/>
          <w:smallCaps/>
          <w:sz w:val="44"/>
        </w:rPr>
        <w:t>R</w:t>
      </w:r>
      <w:r w:rsidR="00171512" w:rsidRPr="00FC330D">
        <w:rPr>
          <w:b/>
          <w:smallCaps/>
          <w:sz w:val="44"/>
        </w:rPr>
        <w:t xml:space="preserve">ynku </w:t>
      </w:r>
      <w:r>
        <w:rPr>
          <w:b/>
          <w:smallCaps/>
          <w:sz w:val="44"/>
        </w:rPr>
        <w:t>P</w:t>
      </w:r>
      <w:r w:rsidR="00171512" w:rsidRPr="00FC330D">
        <w:rPr>
          <w:b/>
          <w:smallCaps/>
          <w:sz w:val="44"/>
        </w:rPr>
        <w:t xml:space="preserve">racy na </w:t>
      </w:r>
      <w:r>
        <w:rPr>
          <w:b/>
          <w:smallCaps/>
          <w:sz w:val="44"/>
        </w:rPr>
        <w:t>Z</w:t>
      </w:r>
      <w:r w:rsidR="00171512" w:rsidRPr="00FC330D">
        <w:rPr>
          <w:b/>
          <w:smallCaps/>
          <w:sz w:val="44"/>
        </w:rPr>
        <w:t>awody</w:t>
      </w:r>
    </w:p>
    <w:p w:rsidR="00171512" w:rsidRDefault="00171512" w:rsidP="00171512">
      <w:pPr>
        <w:ind w:firstLine="709"/>
        <w:jc w:val="both"/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842EC1">
      <w:pPr>
        <w:spacing w:before="120" w:after="120" w:line="240" w:lineRule="auto"/>
        <w:jc w:val="center"/>
        <w:rPr>
          <w:rFonts w:cs="Times New Roman"/>
          <w:i/>
          <w:smallCaps/>
          <w:sz w:val="24"/>
          <w:szCs w:val="24"/>
        </w:rPr>
      </w:pPr>
    </w:p>
    <w:p w:rsidR="003A4574" w:rsidRDefault="003A4574" w:rsidP="003A4574">
      <w:pPr>
        <w:spacing w:before="120" w:after="120" w:line="240" w:lineRule="auto"/>
        <w:rPr>
          <w:rFonts w:cs="Times New Roman"/>
          <w:i/>
          <w:smallCaps/>
          <w:sz w:val="24"/>
          <w:szCs w:val="24"/>
        </w:rPr>
      </w:pPr>
      <w:r>
        <w:rPr>
          <w:rFonts w:cs="Times New Roman"/>
          <w:i/>
          <w:smallCaps/>
          <w:sz w:val="24"/>
          <w:szCs w:val="24"/>
        </w:rPr>
        <w:t>Opracowanie:</w:t>
      </w:r>
    </w:p>
    <w:p w:rsidR="003A4574" w:rsidRDefault="00842EC1" w:rsidP="003A4574">
      <w:pPr>
        <w:spacing w:before="120" w:after="120" w:line="240" w:lineRule="auto"/>
        <w:rPr>
          <w:rFonts w:cs="Times New Roman"/>
          <w:i/>
          <w:smallCaps/>
          <w:sz w:val="24"/>
          <w:szCs w:val="24"/>
        </w:rPr>
      </w:pPr>
      <w:r w:rsidRPr="00F749BF">
        <w:rPr>
          <w:rFonts w:cs="Times New Roman"/>
          <w:i/>
          <w:smallCaps/>
          <w:sz w:val="24"/>
          <w:szCs w:val="24"/>
        </w:rPr>
        <w:t>Wioletta Pytko, Małgorzata Kawalec</w:t>
      </w:r>
    </w:p>
    <w:p w:rsidR="003A4574" w:rsidRDefault="003A4574" w:rsidP="003A4574">
      <w:pPr>
        <w:spacing w:before="120" w:after="120" w:line="240" w:lineRule="auto"/>
        <w:rPr>
          <w:rFonts w:cs="Times New Roman"/>
          <w:i/>
          <w:smallCaps/>
          <w:sz w:val="24"/>
          <w:szCs w:val="24"/>
        </w:rPr>
      </w:pPr>
      <w:r>
        <w:rPr>
          <w:rFonts w:cs="Times New Roman"/>
          <w:i/>
          <w:smallCaps/>
          <w:sz w:val="24"/>
          <w:szCs w:val="24"/>
        </w:rPr>
        <w:t>Wydział Informacji Statystycznej i Analiz</w:t>
      </w:r>
    </w:p>
    <w:p w:rsidR="00842EC1" w:rsidRPr="00F749BF" w:rsidRDefault="00842EC1" w:rsidP="003A4574">
      <w:pPr>
        <w:spacing w:before="120" w:after="120" w:line="240" w:lineRule="auto"/>
        <w:rPr>
          <w:rFonts w:cs="Times New Roman"/>
          <w:i/>
          <w:smallCaps/>
          <w:sz w:val="24"/>
          <w:szCs w:val="24"/>
        </w:rPr>
      </w:pPr>
      <w:r w:rsidRPr="00F749BF">
        <w:rPr>
          <w:rFonts w:cs="Times New Roman"/>
          <w:i/>
          <w:smallCaps/>
          <w:sz w:val="24"/>
          <w:szCs w:val="24"/>
        </w:rPr>
        <w:t>Wojewódzki Urząd Pracy w Rzeszowie</w:t>
      </w:r>
    </w:p>
    <w:p w:rsidR="006D4A20" w:rsidRDefault="006D4A20" w:rsidP="006D4A20">
      <w:pPr>
        <w:jc w:val="center"/>
      </w:pPr>
    </w:p>
    <w:p w:rsidR="000C3252" w:rsidRDefault="000C3252" w:rsidP="006D4A20">
      <w:pPr>
        <w:jc w:val="center"/>
      </w:pPr>
    </w:p>
    <w:p w:rsidR="000C3252" w:rsidRDefault="000C3252" w:rsidP="000C3252">
      <w:pPr>
        <w:jc w:val="center"/>
      </w:pPr>
      <w:r>
        <w:t>Rzeszów, listopad 2018 r.</w:t>
      </w: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77342632"/>
        <w:docPartObj>
          <w:docPartGallery w:val="Table of Contents"/>
          <w:docPartUnique/>
        </w:docPartObj>
      </w:sdtPr>
      <w:sdtContent>
        <w:p w:rsidR="00842EC1" w:rsidRPr="00F749BF" w:rsidRDefault="00842EC1" w:rsidP="00842FD3">
          <w:pPr>
            <w:pStyle w:val="Nagwekspisutreci"/>
            <w:spacing w:after="240"/>
            <w:rPr>
              <w:rFonts w:asciiTheme="minorHAnsi" w:hAnsiTheme="minorHAnsi"/>
              <w:smallCaps/>
              <w:color w:val="auto"/>
            </w:rPr>
          </w:pPr>
          <w:r w:rsidRPr="00F749BF">
            <w:rPr>
              <w:rFonts w:asciiTheme="minorHAnsi" w:hAnsiTheme="minorHAnsi"/>
              <w:smallCaps/>
              <w:color w:val="auto"/>
            </w:rPr>
            <w:t>Spis treści</w:t>
          </w:r>
        </w:p>
        <w:p w:rsidR="00C674BB" w:rsidRDefault="00D44B25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 w:rsidRPr="00D44B25">
            <w:fldChar w:fldCharType="begin"/>
          </w:r>
          <w:r w:rsidR="00842EC1">
            <w:instrText xml:space="preserve"> TOC \o "1-3" \h \z \u </w:instrText>
          </w:r>
          <w:r w:rsidRPr="00D44B25">
            <w:fldChar w:fldCharType="separate"/>
          </w:r>
          <w:hyperlink w:anchor="_Toc530033280" w:history="1">
            <w:r w:rsidR="00C674BB" w:rsidRPr="00ED492B">
              <w:rPr>
                <w:rStyle w:val="Hipercze"/>
                <w:b/>
                <w:noProof/>
              </w:rPr>
              <w:t>1.</w:t>
            </w:r>
            <w:r w:rsidR="00C674BB">
              <w:rPr>
                <w:rFonts w:eastAsiaTheme="minorEastAsia"/>
                <w:noProof/>
                <w:lang w:eastAsia="pl-PL"/>
              </w:rPr>
              <w:tab/>
            </w:r>
            <w:r w:rsidR="00C674BB" w:rsidRPr="00ED492B">
              <w:rPr>
                <w:rStyle w:val="Hipercze"/>
                <w:b/>
                <w:noProof/>
              </w:rPr>
              <w:t>Podkarpacki rynek pracy</w:t>
            </w:r>
            <w:r w:rsidR="00C674BB">
              <w:rPr>
                <w:noProof/>
                <w:webHidden/>
              </w:rPr>
              <w:tab/>
            </w:r>
            <w:r w:rsidR="00C674BB">
              <w:rPr>
                <w:noProof/>
                <w:webHidden/>
              </w:rPr>
              <w:fldChar w:fldCharType="begin"/>
            </w:r>
            <w:r w:rsidR="00C674BB">
              <w:rPr>
                <w:noProof/>
                <w:webHidden/>
              </w:rPr>
              <w:instrText xml:space="preserve"> PAGEREF _Toc530033280 \h </w:instrText>
            </w:r>
            <w:r w:rsidR="00C674BB">
              <w:rPr>
                <w:noProof/>
                <w:webHidden/>
              </w:rPr>
            </w:r>
            <w:r w:rsidR="00C674BB">
              <w:rPr>
                <w:noProof/>
                <w:webHidden/>
              </w:rPr>
              <w:fldChar w:fldCharType="separate"/>
            </w:r>
            <w:r w:rsidR="00C674BB">
              <w:rPr>
                <w:noProof/>
                <w:webHidden/>
              </w:rPr>
              <w:t>3</w:t>
            </w:r>
            <w:r w:rsidR="00C674BB"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1" w:history="1">
            <w:r w:rsidRPr="00ED492B">
              <w:rPr>
                <w:rStyle w:val="Hipercze"/>
                <w:noProof/>
              </w:rPr>
              <w:t>1.1 Zapotrzebowanie na pracowników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2" w:history="1">
            <w:r w:rsidRPr="00ED492B">
              <w:rPr>
                <w:rStyle w:val="Hipercze"/>
                <w:noProof/>
              </w:rPr>
              <w:t>1.2 Podział terytorialny zapotrzebowania na pracowników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3" w:history="1">
            <w:r w:rsidRPr="00ED492B">
              <w:rPr>
                <w:rStyle w:val="Hipercze"/>
                <w:noProof/>
              </w:rPr>
              <w:t>1.3 Charakterystyka firm planujących zwiększać zatrudnienie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4" w:history="1">
            <w:r w:rsidRPr="00ED492B">
              <w:rPr>
                <w:rStyle w:val="Hipercze"/>
                <w:noProof/>
              </w:rPr>
              <w:t>1.4 Poszukiwani pracownicy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5" w:history="1">
            <w:r w:rsidRPr="00ED492B">
              <w:rPr>
                <w:rStyle w:val="Hipercze"/>
                <w:noProof/>
              </w:rPr>
              <w:t>1.5 Oczekiwane kwalifikacje i kompetencje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6" w:history="1">
            <w:r w:rsidRPr="00ED492B">
              <w:rPr>
                <w:rStyle w:val="Hipercze"/>
                <w:noProof/>
              </w:rPr>
              <w:t>1.6 Trudności ze znalezieniem pracowników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7" w:history="1">
            <w:r w:rsidRPr="00ED492B">
              <w:rPr>
                <w:rStyle w:val="Hipercze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ED492B">
              <w:rPr>
                <w:rStyle w:val="Hipercze"/>
                <w:b/>
                <w:noProof/>
              </w:rPr>
              <w:t>Kształcenie zawodowe na Podkarpaciu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8" w:history="1">
            <w:r w:rsidRPr="00ED492B">
              <w:rPr>
                <w:rStyle w:val="Hipercze"/>
                <w:noProof/>
              </w:rPr>
              <w:t>2.1 Kierunki kształcenia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89" w:history="1">
            <w:r w:rsidRPr="00ED492B">
              <w:rPr>
                <w:rStyle w:val="Hipercze"/>
                <w:noProof/>
              </w:rPr>
              <w:t>2.2 Ocena jakości kształcenia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90" w:history="1">
            <w:r w:rsidRPr="00ED492B">
              <w:rPr>
                <w:rStyle w:val="Hipercze"/>
                <w:noProof/>
              </w:rPr>
              <w:t>Załącznik Nr 1. Lista zawodów wynikających z analizy potrzeb szkół zawodowych w kontekście wyzwań regionalnego rynku 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91" w:history="1">
            <w:r w:rsidRPr="00ED492B">
              <w:rPr>
                <w:rStyle w:val="Hipercze"/>
                <w:b/>
                <w:noProof/>
              </w:rPr>
              <w:t>2.1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ED492B">
              <w:rPr>
                <w:rStyle w:val="Hipercze"/>
                <w:b/>
                <w:noProof/>
              </w:rPr>
              <w:t>Metodologia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674BB" w:rsidRDefault="00C674BB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530033292" w:history="1">
            <w:r w:rsidRPr="00ED492B">
              <w:rPr>
                <w:rStyle w:val="Hipercze"/>
                <w:b/>
                <w:noProof/>
              </w:rPr>
              <w:t>2.2</w:t>
            </w:r>
            <w:r>
              <w:rPr>
                <w:rFonts w:eastAsiaTheme="minorEastAsia"/>
                <w:noProof/>
                <w:lang w:eastAsia="pl-PL"/>
              </w:rPr>
              <w:tab/>
            </w:r>
            <w:r w:rsidRPr="00ED492B">
              <w:rPr>
                <w:rStyle w:val="Hipercze"/>
                <w:b/>
                <w:noProof/>
              </w:rPr>
              <w:t>Ranking zawodów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_Toc530033292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42EC1" w:rsidRDefault="00D44B25">
          <w:r>
            <w:rPr>
              <w:b/>
              <w:bCs/>
            </w:rPr>
            <w:fldChar w:fldCharType="end"/>
          </w:r>
        </w:p>
      </w:sdtContent>
    </w:sdt>
    <w:p w:rsidR="006D4A20" w:rsidRDefault="006D4A20" w:rsidP="006D4A20">
      <w:pPr>
        <w:jc w:val="center"/>
      </w:pPr>
    </w:p>
    <w:p w:rsidR="006D4A20" w:rsidRDefault="006D4A20" w:rsidP="006D4A20">
      <w:pPr>
        <w:jc w:val="center"/>
      </w:pPr>
      <w:r>
        <w:br w:type="page"/>
      </w:r>
    </w:p>
    <w:p w:rsidR="00842EC1" w:rsidRPr="00CD0740" w:rsidRDefault="00842EC1" w:rsidP="00842EC1">
      <w:pPr>
        <w:pStyle w:val="Akapitzlist"/>
        <w:numPr>
          <w:ilvl w:val="0"/>
          <w:numId w:val="7"/>
        </w:numPr>
        <w:jc w:val="both"/>
        <w:outlineLvl w:val="0"/>
        <w:rPr>
          <w:b/>
          <w:sz w:val="28"/>
        </w:rPr>
      </w:pPr>
      <w:bookmarkStart w:id="0" w:name="_Toc530033280"/>
      <w:r w:rsidRPr="00CD0740">
        <w:rPr>
          <w:b/>
          <w:sz w:val="28"/>
        </w:rPr>
        <w:lastRenderedPageBreak/>
        <w:t>Podkarpacki rynek pracy</w:t>
      </w:r>
      <w:bookmarkEnd w:id="0"/>
    </w:p>
    <w:p w:rsidR="00171512" w:rsidRDefault="003B76C2" w:rsidP="00171512">
      <w:pPr>
        <w:ind w:firstLine="709"/>
        <w:jc w:val="both"/>
      </w:pPr>
      <w:r>
        <w:t xml:space="preserve">W sytuacji sukcesywnie zmniejszającej się stopy bezrobocia w regionie, </w:t>
      </w:r>
      <w:r w:rsidR="00171512">
        <w:t xml:space="preserve">Wojewódzki Urząd Pracy w Rzeszowie w 2017 roku przygotował i przeprowadził badanie podkarpackich przedsiębiorców </w:t>
      </w:r>
      <w:r w:rsidR="00DA6CCD">
        <w:t>„Zapotrzebowanie na zawody oraz kwalifikacje i kompetenc</w:t>
      </w:r>
      <w:r w:rsidR="000C3252">
        <w:t>je na lokalnych rynkach pracy w </w:t>
      </w:r>
      <w:r w:rsidR="00DA6CCD">
        <w:t xml:space="preserve">województwie podkarpackim” </w:t>
      </w:r>
      <w:r w:rsidR="00171512">
        <w:t>– przedsięwzięcie o skali znacznie przekraczającej standardy dotyczące realizacji badań. Wzięło w nim udział aż 10 202 pracodawców z całego województwa – ich liczba została dostosowana do założenia uzyskania próby reprezentaty</w:t>
      </w:r>
      <w:r w:rsidR="00DA6CCD">
        <w:t>wnej nie tylko</w:t>
      </w:r>
      <w:r w:rsidR="00171512">
        <w:t xml:space="preserve"> dla całego województwa, </w:t>
      </w:r>
      <w:r w:rsidR="00DA6CCD">
        <w:t xml:space="preserve">ale również </w:t>
      </w:r>
      <w:r w:rsidR="00171512">
        <w:t xml:space="preserve">dla każdego podkarpackiego powiatu. W badaniu położono bowiem nacisk na uzyskanie szczegółowej wiedzy pozwalającej określić trendy rozwojowe rynku pracy całego regionu oraz jego wewnętrzne zróżnicowanie odzwierciedlające się w </w:t>
      </w:r>
      <w:r w:rsidR="00DA6CCD">
        <w:t xml:space="preserve">kierunkach zmian </w:t>
      </w:r>
      <w:r w:rsidR="00171512">
        <w:t>poszczególnych lokalnych rynków pracy.</w:t>
      </w:r>
      <w:r w:rsidR="004704C8">
        <w:t xml:space="preserve"> Poniższe wyniki w całości pochodzą z ww. badania</w:t>
      </w:r>
      <w:r w:rsidR="004704C8">
        <w:rPr>
          <w:rStyle w:val="Odwoanieprzypisudolnego"/>
        </w:rPr>
        <w:footnoteReference w:id="1"/>
      </w:r>
      <w:r w:rsidR="00F749BF">
        <w:t xml:space="preserve"> (o ile nie zastrzeżono inaczej).</w:t>
      </w:r>
    </w:p>
    <w:p w:rsidR="00171512" w:rsidRPr="002F4076" w:rsidRDefault="00D51886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1" w:name="_Toc530033281"/>
      <w:r w:rsidRPr="002F4076">
        <w:rPr>
          <w:rFonts w:asciiTheme="minorHAnsi" w:hAnsiTheme="minorHAnsi"/>
          <w:color w:val="auto"/>
          <w:sz w:val="22"/>
          <w:szCs w:val="22"/>
        </w:rPr>
        <w:t>1.1 Zapotrzebowanie na pracowników</w:t>
      </w:r>
      <w:bookmarkEnd w:id="1"/>
    </w:p>
    <w:p w:rsidR="00171512" w:rsidRDefault="00171512" w:rsidP="00171512">
      <w:pPr>
        <w:ind w:firstLine="709"/>
        <w:jc w:val="both"/>
      </w:pPr>
      <w:r>
        <w:t>Zapotrzebowanie na pracowników jest najwyższe od wielu lat – dzisiaj już 1/3 pracodawców (31,4%) w województwie podkarpackim deklaruje plany zatrudn</w:t>
      </w:r>
      <w:r w:rsidR="00A81213">
        <w:t>ieniowe w ciągu najbliższych 12 </w:t>
      </w:r>
      <w:r>
        <w:t xml:space="preserve">miesięcy – warto zauważyć, że większa część tej grupy wyraża w tym względzie postawę zdecydowaną (19,7% odpowiedzi „zdecydowanie tak” </w:t>
      </w:r>
      <w:r w:rsidR="00A81213">
        <w:t xml:space="preserve">– </w:t>
      </w:r>
      <w:r>
        <w:t>w stosunku do 11,7% odpowiedzi „raczej tak”). Dla porównania całkiem niedawno, bo w 2013 roku takie plany deklarowało jedynie 8% pracodawców. Dodatkowo co siódmy pracodawca (13,5%) nie potrafi określić, czy będzie zatrudniać – oznacza to, że przynajmniej zastanawia się nad taką możliwością mimo tego, że nie składa deklaracji w tym względzie.</w:t>
      </w:r>
    </w:p>
    <w:p w:rsidR="00171512" w:rsidRDefault="00171512" w:rsidP="00171512">
      <w:pPr>
        <w:ind w:firstLine="709"/>
        <w:jc w:val="both"/>
      </w:pPr>
      <w:r>
        <w:t xml:space="preserve">W badaniu pytano pracodawców o to czy i kogo (osób z jakimi kwalifikacjami) planują zatrudniać, jednocześnie poproszono ich o doprecyzowanie liczby poszukiwanych pracowników. Odniesienie danych uzyskanych na próbie reprezentatywnej do liczby przedsiębiorców fatycznie działających na podkarpackim rynku pozwoliło na oszacowanie liczby miejsc pracy planowanych do utworzenia – w skali całego województwa przedsiębiorcy deklarują utworzenie </w:t>
      </w:r>
      <w:r w:rsidR="00A81213">
        <w:t>w ciągu roku</w:t>
      </w:r>
      <w:r w:rsidR="004F24BA">
        <w:t xml:space="preserve"> 101 334 miejsc</w:t>
      </w:r>
      <w:r>
        <w:t xml:space="preserve"> pracy. Liczba ta jest poparta odpowiedziami „zdecydowanie tak”, natomiast jeśli dołożymy do nich również odpowiedzi „raczej” tak”, u</w:t>
      </w:r>
      <w:r w:rsidR="004F24BA">
        <w:t>zyskujemy liczbę 143 642 miejsc pracy planowanych</w:t>
      </w:r>
      <w:r>
        <w:t xml:space="preserve"> do utworzenia. Skala tych potrzeb robi ogromne wrażenie – ty</w:t>
      </w:r>
      <w:r w:rsidR="000C3252">
        <w:t>m większe, jeśli zestawimy ją z </w:t>
      </w:r>
      <w:r>
        <w:t>potencjałem kadrowym blisko 8</w:t>
      </w:r>
      <w:r w:rsidR="00CE68B0">
        <w:t>0</w:t>
      </w:r>
      <w:r>
        <w:t xml:space="preserve"> tysięcy osób bezrobotnych zarejestrowanych w powiatowych urzędach pracy na koniec </w:t>
      </w:r>
      <w:r w:rsidR="00CE68B0">
        <w:t>września</w:t>
      </w:r>
      <w:r>
        <w:t xml:space="preserve"> 2018 roku. Przy takim prostym przełożeniu liczb okazuje się, że potencjał kadrowy nie jest w stanie zaspokoić potrzeb kadrowych podkarpackich przedsiębiorców – nawet jeśli uwzględnimy, że blisko 22% osób poszukujących zatrudnienia na Podkarpaciu nie rejestruje s</w:t>
      </w:r>
      <w:r w:rsidR="00F749BF">
        <w:t>ię w powiatowych urzędach pracy</w:t>
      </w:r>
      <w:r w:rsidR="00F749BF">
        <w:rPr>
          <w:rStyle w:val="Odwoanieprzypisudolnego"/>
        </w:rPr>
        <w:footnoteReference w:id="2"/>
      </w:r>
      <w:r>
        <w:t>.</w:t>
      </w:r>
    </w:p>
    <w:p w:rsidR="009C3573" w:rsidRDefault="009C3573" w:rsidP="009C3573">
      <w:pPr>
        <w:ind w:firstLine="709"/>
        <w:jc w:val="both"/>
      </w:pPr>
      <w:r>
        <w:t>Co czwarty pracodawca (24,3%) przewiduje zatrudnienie pracowników w perspektywie 3-</w:t>
      </w:r>
      <w:r w:rsidR="00A81213">
        <w:t>l</w:t>
      </w:r>
      <w:r>
        <w:t xml:space="preserve">etniej, jednocześnie  połowa z nich (51,5%) nie potrafiła tego określić. W perspektywie 5-letniej pracodawcy wskazali dwukrotnie wyższe zapotrzebowanie na pracowników niż w odniesieniu do </w:t>
      </w:r>
      <w:r>
        <w:lastRenderedPageBreak/>
        <w:t>3</w:t>
      </w:r>
      <w:r w:rsidR="00A81213">
        <w:t> </w:t>
      </w:r>
      <w:r>
        <w:t xml:space="preserve">najbliższych lat – ponad połowa z nich (54,1%) planuje zatrudniać, jednocześnie 38,3% z nich nie potrafiło tego określić. </w:t>
      </w:r>
    </w:p>
    <w:p w:rsidR="009C3573" w:rsidRDefault="009C3573" w:rsidP="009C3573">
      <w:pPr>
        <w:ind w:firstLine="709"/>
        <w:jc w:val="both"/>
      </w:pPr>
      <w:r>
        <w:t>Mimo tego, że w kontekście różnej perspektywy czasowej skala planów zatrudnieniowych pracodawców jest zróżnicowana: (31,4% pracodawców – 12 miesięcy; 24,3% – 3 lata; 54,1% – 5 lat) – w każdym z przypadków jest ona optymistyczna.</w:t>
      </w:r>
    </w:p>
    <w:p w:rsidR="00171512" w:rsidRPr="002F4076" w:rsidRDefault="009C3573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2" w:name="_Toc530033282"/>
      <w:r w:rsidRPr="002F4076">
        <w:rPr>
          <w:rFonts w:asciiTheme="minorHAnsi" w:hAnsiTheme="minorHAnsi"/>
          <w:color w:val="auto"/>
          <w:sz w:val="22"/>
          <w:szCs w:val="22"/>
        </w:rPr>
        <w:t xml:space="preserve">1.2 Podział terytorialny zapotrzebowania </w:t>
      </w:r>
      <w:r w:rsidR="00A81213">
        <w:rPr>
          <w:rFonts w:asciiTheme="minorHAnsi" w:hAnsiTheme="minorHAnsi"/>
          <w:color w:val="auto"/>
          <w:sz w:val="22"/>
          <w:szCs w:val="22"/>
        </w:rPr>
        <w:t>na pracowników</w:t>
      </w:r>
      <w:bookmarkEnd w:id="2"/>
    </w:p>
    <w:p w:rsidR="00171512" w:rsidRDefault="00171512" w:rsidP="00171512">
      <w:pPr>
        <w:ind w:firstLine="709"/>
        <w:jc w:val="both"/>
      </w:pPr>
      <w:r>
        <w:t xml:space="preserve">Opinie pracodawców dotyczące ich planów zatrudnieniowych zostały zebrane w skali reprezentatywnej zarówno dla całego województwa, jak i dla poszczególnych powiatów, czego celem było ustalenie trendów zatrudnieniowych również na lokalnych rynkach pracy i sprawdzenie jak bardzo różnią się one między sobą. Biorąc pod uwagę wszystkie powiaty województwa </w:t>
      </w:r>
      <w:r w:rsidRPr="00CE68B0">
        <w:t>podkarpackiego</w:t>
      </w:r>
      <w:r w:rsidR="009C3573" w:rsidRPr="00CE68B0">
        <w:t xml:space="preserve"> (mapa 1)</w:t>
      </w:r>
      <w:r w:rsidRPr="00CE68B0">
        <w:t>,</w:t>
      </w:r>
      <w:r>
        <w:t xml:space="preserve"> najwięcej planują zatrudniać pracodawcy z powiatu łańcuckiego (39,6%), zaś najmniej pracodawcy z powiatu przemyskiego (16,7%). Należy zwrócić uwagę, że w 12 powiatach odsetek wskazań przewyższa wskaźnik wojewódzki (31,4%). Jednocześnie warto zaznaczyć, że plany zatrudnieniowe pracodawców w pewien sposób dzielą województwo już nie na północ i południ</w:t>
      </w:r>
      <w:r w:rsidR="000C3252">
        <w:t>e, a </w:t>
      </w:r>
      <w:r>
        <w:t>raczej na wschód i zachód – to w części zachodniej województwa pracodawcy zgłaszają największe potrzeby w zakresie pozyskania kadr.</w:t>
      </w:r>
    </w:p>
    <w:p w:rsidR="009C3573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t xml:space="preserve">Mapa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Mapa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1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>
        <w:rPr>
          <w:color w:val="000000" w:themeColor="text1"/>
        </w:rPr>
        <w:tab/>
      </w:r>
      <w:r w:rsidR="009C3573" w:rsidRPr="00CE68B0">
        <w:rPr>
          <w:color w:val="000000" w:themeColor="text1"/>
        </w:rPr>
        <w:t>Odsetek pracodawców planujących zwiększenie zatrudnienia w perspektywie 12 m-cy</w:t>
      </w:r>
    </w:p>
    <w:p w:rsidR="009C3573" w:rsidRDefault="009C3573" w:rsidP="009C3573">
      <w:pPr>
        <w:ind w:firstLine="709"/>
        <w:jc w:val="both"/>
      </w:pPr>
      <w:r>
        <w:rPr>
          <w:rFonts w:ascii="Times New Roman" w:hAnsi="Times New Roman" w:cs="Times New Roman"/>
          <w:iCs/>
          <w:noProof/>
          <w:sz w:val="24"/>
          <w:lang w:eastAsia="pl-PL"/>
        </w:rPr>
        <w:drawing>
          <wp:inline distT="0" distB="0" distL="0" distR="0">
            <wp:extent cx="3540557" cy="4129175"/>
            <wp:effectExtent l="0" t="0" r="0" b="5080"/>
            <wp:docPr id="11" name="Obraz 11" descr="C:\Users\Piotrek\Desktop\WUP rzeszów okładki\Mapki\podkarpac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otrek\Desktop\WUP rzeszów okładki\Mapki\podkarpack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615" cy="4132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573" w:rsidRDefault="009C3573" w:rsidP="009C3573">
      <w:pPr>
        <w:ind w:firstLine="709"/>
        <w:jc w:val="both"/>
      </w:pPr>
      <w:r>
        <w:t xml:space="preserve">Biorąc pod uwagę plany zatrudnieniowe w perspektywie najbliższych 3 lat – największe zadeklarowali pracodawcy z  powiatu sanockiego (32,8%), zaś najmniejsze – pracodawcy z powiatu przemyskiego (14,4%). Należy dodać, że w 14 powiatach odsetek wskazań przewyższa wskaźnik </w:t>
      </w:r>
      <w:r>
        <w:lastRenderedPageBreak/>
        <w:t>wojewódzki (24,3%). W perspektywie 5-letniej najwięcej planów zatrudnieniowych zadeklarowali pracodawcy z powiatu bieszczadzkiego (66,7%), zaś najmniej pracodawcy z powiatu przemyskiego (36,4%). W 13 powiatach odsetek wskazań przewyższa wskaźnik wojewódzki (54,1%).</w:t>
      </w:r>
    </w:p>
    <w:p w:rsidR="00171512" w:rsidRPr="002F4076" w:rsidRDefault="009C3573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3" w:name="_Toc530033283"/>
      <w:r w:rsidRPr="002F4076">
        <w:rPr>
          <w:rFonts w:asciiTheme="minorHAnsi" w:hAnsiTheme="minorHAnsi"/>
          <w:color w:val="auto"/>
          <w:sz w:val="22"/>
          <w:szCs w:val="22"/>
        </w:rPr>
        <w:t>1.3 Charakterystyka firm planujących zwiększać zatrudnienie</w:t>
      </w:r>
      <w:bookmarkEnd w:id="3"/>
    </w:p>
    <w:p w:rsidR="00171512" w:rsidRDefault="00171512" w:rsidP="00171512">
      <w:pPr>
        <w:ind w:firstLine="709"/>
        <w:jc w:val="both"/>
      </w:pPr>
      <w:r>
        <w:t>Biorąc pod uwagę wielkość przedsiębiorstwa, plany zwiększenia zatrudnienia w ciągu najbliższego roku deklarowali przedstawiciele przedsiębiorstw reprezentujących wszystkie wielkości zatrudnienia. Widoczna jest wyraźna tendencja, w której odsetek firm planujących zatrudnienie zwiększa się wraz ze wzrostem wielkości zatrudnienia – firmy duże (zatrudniające od 250 do 999 pracowników) i bardzo duże (zatrudniające 1000 i więcej pracowników) osiągnęły porównywalny odsetek – odpowiednio 89,3% i 86,7%.</w:t>
      </w:r>
    </w:p>
    <w:p w:rsidR="00171512" w:rsidRDefault="00171512" w:rsidP="00171512">
      <w:pPr>
        <w:ind w:firstLine="709"/>
        <w:jc w:val="both"/>
      </w:pPr>
      <w:r>
        <w:t xml:space="preserve">Plany zatrudnieniowe w najbliższym roku deklarują przedstawiciele wszystkich 21 branż, chociaż w różnej skali </w:t>
      </w:r>
      <w:r w:rsidR="009C3573">
        <w:t>(</w:t>
      </w:r>
      <w:r w:rsidR="009C3573" w:rsidRPr="00CE68B0">
        <w:t>wykre</w:t>
      </w:r>
      <w:r w:rsidR="00137AEF" w:rsidRPr="00CE68B0">
        <w:t>s 1</w:t>
      </w:r>
      <w:r w:rsidR="009C3573" w:rsidRPr="00CE68B0">
        <w:t xml:space="preserve">) </w:t>
      </w:r>
      <w:r w:rsidRPr="00CE68B0">
        <w:t>–</w:t>
      </w:r>
      <w:r>
        <w:t xml:space="preserve"> w 10 branżach odsetek wskazań przewyższa wskaźnik wojewódzki (31,4%). W zasadzie na ten moment nie ma już takiej branży, w której pracodawcy nie wskazaliby żadnych potrzeb kadrowych, a w branży, w której odsetek ten jest najniższy i tak wynosi on blisko 20% pracodawców (działalność związana z kulturą, rozrywką i rekreacją). Największe plany zatrudnieniowe zgłaszają takie branże jak: transport i gospodarka magazynowa (</w:t>
      </w:r>
      <w:r w:rsidR="00F475FF">
        <w:t xml:space="preserve">sekcja H – </w:t>
      </w:r>
      <w:r>
        <w:t>52%), przetwórstwo przemysłowe (</w:t>
      </w:r>
      <w:r w:rsidR="00F475FF">
        <w:t xml:space="preserve">sekcja </w:t>
      </w:r>
      <w:r w:rsidR="00EB0EBE">
        <w:t>C</w:t>
      </w:r>
      <w:r w:rsidR="00F475FF">
        <w:t xml:space="preserve"> – </w:t>
      </w:r>
      <w:r>
        <w:t>49%), zakwaterowanie i usługi gastronomiczne (</w:t>
      </w:r>
      <w:r w:rsidR="00F475FF">
        <w:t xml:space="preserve">sekcja I – </w:t>
      </w:r>
      <w:r>
        <w:t>41%), budownictwo (</w:t>
      </w:r>
      <w:r w:rsidR="00F475FF">
        <w:t xml:space="preserve">sekcja F – </w:t>
      </w:r>
      <w:r>
        <w:t>38%), informacja i komunikacja (</w:t>
      </w:r>
      <w:r w:rsidR="00F475FF">
        <w:t xml:space="preserve">sekcja J – </w:t>
      </w:r>
      <w:r>
        <w:t>37%), pozostała działalność usługowa (</w:t>
      </w:r>
      <w:r w:rsidR="00F475FF">
        <w:t xml:space="preserve">sekcja S – </w:t>
      </w:r>
      <w:r>
        <w:t>35%).</w:t>
      </w:r>
    </w:p>
    <w:p w:rsidR="00137AEF" w:rsidRPr="00CE68B0" w:rsidRDefault="00CE68B0" w:rsidP="00CE68B0">
      <w:pPr>
        <w:pStyle w:val="Legenda"/>
        <w:ind w:left="1410" w:hanging="1410"/>
        <w:rPr>
          <w:color w:val="000000" w:themeColor="text1"/>
        </w:rPr>
      </w:pPr>
      <w:r w:rsidRPr="00CE68B0">
        <w:rPr>
          <w:color w:val="000000" w:themeColor="text1"/>
        </w:rPr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1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137AEF" w:rsidRPr="00CE68B0">
        <w:rPr>
          <w:color w:val="000000" w:themeColor="text1"/>
        </w:rPr>
        <w:t>Odsetek przedsiębiorców deklarujących plany zatrudnieniowe w ciąg</w:t>
      </w:r>
      <w:r>
        <w:rPr>
          <w:color w:val="000000" w:themeColor="text1"/>
        </w:rPr>
        <w:t xml:space="preserve">u najbliższych 12 </w:t>
      </w:r>
      <w:proofErr w:type="spellStart"/>
      <w:r>
        <w:rPr>
          <w:color w:val="000000" w:themeColor="text1"/>
        </w:rPr>
        <w:t>m-cy</w:t>
      </w:r>
      <w:proofErr w:type="spellEnd"/>
      <w:r>
        <w:rPr>
          <w:color w:val="000000" w:themeColor="text1"/>
        </w:rPr>
        <w:t xml:space="preserve"> w 2017 i </w:t>
      </w:r>
      <w:r w:rsidR="00137AEF" w:rsidRPr="00CE68B0">
        <w:rPr>
          <w:color w:val="000000" w:themeColor="text1"/>
        </w:rPr>
        <w:t>2016 r.</w:t>
      </w:r>
      <w:r w:rsidR="00137AEF" w:rsidRPr="00CE68B0">
        <w:rPr>
          <w:rStyle w:val="Odwoanieprzypisudolnego"/>
          <w:color w:val="000000" w:themeColor="text1"/>
        </w:rPr>
        <w:footnoteReference w:id="3"/>
      </w:r>
    </w:p>
    <w:p w:rsidR="009C3573" w:rsidRDefault="009C3573" w:rsidP="009C3573">
      <w:pPr>
        <w:jc w:val="both"/>
      </w:pPr>
      <w:r w:rsidRPr="009C3573">
        <w:rPr>
          <w:noProof/>
          <w:lang w:eastAsia="pl-PL"/>
        </w:rPr>
        <w:drawing>
          <wp:inline distT="0" distB="0" distL="0" distR="0">
            <wp:extent cx="5755963" cy="3049762"/>
            <wp:effectExtent l="0" t="0" r="0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475FF" w:rsidRPr="002F4076" w:rsidRDefault="00F475FF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4" w:name="_Toc530033284"/>
      <w:r w:rsidRPr="002F4076">
        <w:rPr>
          <w:rFonts w:asciiTheme="minorHAnsi" w:hAnsiTheme="minorHAnsi"/>
          <w:color w:val="auto"/>
          <w:sz w:val="22"/>
          <w:szCs w:val="22"/>
        </w:rPr>
        <w:lastRenderedPageBreak/>
        <w:t>1.4 Poszukiwani pracownicy</w:t>
      </w:r>
      <w:bookmarkEnd w:id="4"/>
    </w:p>
    <w:p w:rsidR="00171512" w:rsidRDefault="00171512" w:rsidP="00171512">
      <w:pPr>
        <w:ind w:firstLine="709"/>
        <w:jc w:val="both"/>
      </w:pPr>
      <w:r>
        <w:t>Najwięcej pracodawców planujących zatrudnienie w perspektywie najbliższych 12 miesięcy chciałoby pozyskać: specjalistów (takie plany deklaruje 30,3% pracodawców), robotników przemysłowych i rzemieślników (18,7%), techników i inny średni personel (17,4%), pracowników usług i sprzedawców (16,3%). Jednocześnie należy zwrócić uwagę, że 21,0% pracodawców nie potrafi określić, w jakich zawodach planuje zatrudnienie.</w:t>
      </w:r>
    </w:p>
    <w:p w:rsidR="0058786D" w:rsidRDefault="0058786D" w:rsidP="0058786D">
      <w:pPr>
        <w:ind w:firstLine="709"/>
        <w:jc w:val="both"/>
      </w:pPr>
      <w:r>
        <w:t xml:space="preserve">Biorąc pod uwagę liczbę pracowników planowanych do zatrudnienia w  przedsiębiorstwach </w:t>
      </w:r>
      <w:r w:rsidRPr="00CE68B0">
        <w:t>(wykres 2</w:t>
      </w:r>
      <w:r>
        <w:t>) – spośród wszystkich poszukiwanych zawodów najwięcej planuje się zatrudnić: robotników przemysłowych i rzemieślników (27,9% osób poszukiwanych na rynku pracy), specjalistów (22,2%), pracowników usług i sprzedawców (15,9%).</w:t>
      </w:r>
    </w:p>
    <w:p w:rsidR="00F475FF" w:rsidRPr="00CE68B0" w:rsidRDefault="00CE68B0" w:rsidP="00CE68B0">
      <w:pPr>
        <w:pStyle w:val="Legenda"/>
        <w:ind w:left="1410" w:hanging="1410"/>
        <w:jc w:val="both"/>
        <w:rPr>
          <w:color w:val="000000" w:themeColor="text1"/>
        </w:rPr>
      </w:pPr>
      <w:r w:rsidRPr="00CE68B0">
        <w:rPr>
          <w:color w:val="000000" w:themeColor="text1"/>
        </w:rPr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2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DA0B44" w:rsidRPr="00CE68B0">
        <w:rPr>
          <w:color w:val="000000" w:themeColor="text1"/>
        </w:rPr>
        <w:t>Planowane do utworzenia miejsca pracy – duże grupy za</w:t>
      </w:r>
      <w:r w:rsidR="000C3252" w:rsidRPr="00CE68B0">
        <w:rPr>
          <w:color w:val="000000" w:themeColor="text1"/>
        </w:rPr>
        <w:t>wodów wg Klasyfikacji Zawodów i </w:t>
      </w:r>
      <w:r w:rsidR="00DA0B44" w:rsidRPr="00CE68B0">
        <w:rPr>
          <w:color w:val="000000" w:themeColor="text1"/>
        </w:rPr>
        <w:t>Specjalności</w:t>
      </w:r>
    </w:p>
    <w:p w:rsidR="00F475FF" w:rsidRDefault="00F475FF" w:rsidP="00171512">
      <w:pPr>
        <w:ind w:firstLine="709"/>
        <w:jc w:val="both"/>
      </w:pPr>
    </w:p>
    <w:p w:rsidR="00F475FF" w:rsidRDefault="00F475FF" w:rsidP="00F475FF">
      <w:pPr>
        <w:jc w:val="both"/>
      </w:pPr>
      <w:r w:rsidRPr="00F475FF">
        <w:rPr>
          <w:noProof/>
          <w:lang w:eastAsia="pl-PL"/>
        </w:rPr>
        <w:drawing>
          <wp:inline distT="0" distB="0" distL="0" distR="0">
            <wp:extent cx="5808268" cy="2531059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1512" w:rsidRDefault="00171512" w:rsidP="00171512">
      <w:pPr>
        <w:ind w:firstLine="709"/>
        <w:jc w:val="both"/>
      </w:pPr>
      <w:r>
        <w:t>Analiza zawodów wskazywanych przez pracodawców w kontekście potrzeb zatrudnieniowych wykazała, że pożądane są profesje o bardzo szerokim przekroju –</w:t>
      </w:r>
      <w:r w:rsidR="0058786D">
        <w:t xml:space="preserve"> ł</w:t>
      </w:r>
      <w:r>
        <w:t xml:space="preserve">atwiej byłoby powiedzieć, że znamienne na dzisiaj jest poszukiwanie pracowników w praktycznie każdym zawodzie. </w:t>
      </w:r>
      <w:r w:rsidR="0058786D">
        <w:t>Analiza zapotrzebowania na konkretne zawody na podstawie omawianego badania oraz innych danych pochodzących z rynku pracy stanowi załącznik do niniejszej analizy</w:t>
      </w:r>
      <w:r w:rsidR="00EB0EBE">
        <w:t xml:space="preserve"> – z tym, że zawiera ona odniesienie jedynie do zawodów nauczanych w trybie szkolnym na poziomie ponadgimnazjalnym</w:t>
      </w:r>
      <w:r w:rsidR="0058786D">
        <w:t>.</w:t>
      </w:r>
    </w:p>
    <w:p w:rsidR="00171512" w:rsidRDefault="00171512" w:rsidP="00171512">
      <w:pPr>
        <w:ind w:firstLine="709"/>
        <w:jc w:val="both"/>
      </w:pPr>
      <w:r>
        <w:t>Poziom wykształcenia oczekiwanego od kandydatów jest zróżnicowany</w:t>
      </w:r>
      <w:r w:rsidR="00E666CD">
        <w:t xml:space="preserve"> </w:t>
      </w:r>
      <w:r w:rsidR="00E666CD" w:rsidRPr="00CE68B0">
        <w:t>(wykres 3)</w:t>
      </w:r>
      <w:r w:rsidRPr="00CE68B0">
        <w:t>. W</w:t>
      </w:r>
      <w:r>
        <w:t xml:space="preserve"> ujęciu ogólnym najbardziej pożądane do pracy są osoby z wykształceniem wyższym (30,4% osób poszukiwanych na rynku pracy), zasadniczym zawodowym (22,0%) oraz ze średnim zawodowym lub policealnym (16,1%) – co oznacza, że 38,1% osób poszukiw</w:t>
      </w:r>
      <w:r w:rsidR="000C3252">
        <w:t>anych na rynku pracy to osoby z </w:t>
      </w:r>
      <w:r>
        <w:t xml:space="preserve">wykształceniem zawodowym na poziomie ponadgimnazjalnym / ponadpodstawowym. Wymagania dotyczące wykształcenia są adekwatne do charakteru poszukiwanych zawodów. Jednocześnie </w:t>
      </w:r>
      <w:r w:rsidR="00EB0EBE">
        <w:t xml:space="preserve">warto zaznaczyć, że </w:t>
      </w:r>
      <w:r>
        <w:t>pracodawcy nie potrafili określić konkretnych oczekiwań w zakresie wymagań dotyczących wykształcenia w odniesieniu do 22,3% planowanych do zatrudnienia pracowników.</w:t>
      </w:r>
    </w:p>
    <w:p w:rsidR="00CE68B0" w:rsidRDefault="00CE68B0" w:rsidP="00171512">
      <w:pPr>
        <w:ind w:firstLine="709"/>
        <w:jc w:val="both"/>
      </w:pPr>
    </w:p>
    <w:p w:rsidR="00E666CD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lastRenderedPageBreak/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3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E666CD" w:rsidRPr="00CE68B0">
        <w:rPr>
          <w:color w:val="000000" w:themeColor="text1"/>
        </w:rPr>
        <w:t>Poziom wykształcenia oczekiwany od kandydatów na planowane do utworzenia stanowiska pracy</w:t>
      </w:r>
    </w:p>
    <w:p w:rsidR="00171512" w:rsidRDefault="0058786D" w:rsidP="0058786D">
      <w:pPr>
        <w:jc w:val="both"/>
      </w:pPr>
      <w:r w:rsidRPr="0058786D">
        <w:rPr>
          <w:noProof/>
          <w:lang w:eastAsia="pl-PL"/>
        </w:rPr>
        <w:drawing>
          <wp:inline distT="0" distB="0" distL="0" distR="0">
            <wp:extent cx="5760720" cy="3148001"/>
            <wp:effectExtent l="0" t="0" r="0" b="0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1512" w:rsidRDefault="00171512" w:rsidP="00171512">
      <w:pPr>
        <w:ind w:firstLine="709"/>
        <w:jc w:val="both"/>
      </w:pPr>
      <w:r>
        <w:t>Oczekiwania dotyczące posiadania doświadczenia zawodowego przez kandydatów pracodawcy określili w stosunku do 44,6% pracowników planowanych do zatrudnienia</w:t>
      </w:r>
      <w:r w:rsidR="00E666CD">
        <w:t xml:space="preserve"> </w:t>
      </w:r>
      <w:r w:rsidR="00E666CD" w:rsidRPr="00CE68B0">
        <w:rPr>
          <w:color w:val="000000" w:themeColor="text1"/>
        </w:rPr>
        <w:t>(wykres 4)</w:t>
      </w:r>
      <w:r w:rsidRPr="00CE68B0">
        <w:rPr>
          <w:color w:val="000000" w:themeColor="text1"/>
        </w:rPr>
        <w:t>.</w:t>
      </w:r>
      <w:r>
        <w:t xml:space="preserve"> W</w:t>
      </w:r>
      <w:r w:rsidR="000C3252">
        <w:t> </w:t>
      </w:r>
      <w:r>
        <w:t xml:space="preserve">odniesieniu do 1/4 osób (27,4%) nie wymaga się doświadczenia, natomiast w stosunku do 27,9% pracodawcy nie potrafili tego sprecyzować. </w:t>
      </w:r>
    </w:p>
    <w:p w:rsidR="00E666CD" w:rsidRPr="00CE68B0" w:rsidRDefault="00CE68B0" w:rsidP="00CE68B0">
      <w:pPr>
        <w:pStyle w:val="Legenda"/>
        <w:ind w:left="1410" w:hanging="1410"/>
        <w:jc w:val="both"/>
        <w:rPr>
          <w:color w:val="000000" w:themeColor="text1"/>
        </w:rPr>
      </w:pPr>
      <w:r w:rsidRPr="00CE68B0">
        <w:rPr>
          <w:color w:val="000000" w:themeColor="text1"/>
        </w:rPr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4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E666CD" w:rsidRPr="00CE68B0">
        <w:rPr>
          <w:color w:val="000000" w:themeColor="text1"/>
        </w:rPr>
        <w:t>Oczekiwania wobec kandydatów na planowane do utworzenia stanowiska pracy odnośnie posiadania doświadczenia zawodowego</w:t>
      </w:r>
    </w:p>
    <w:p w:rsidR="00E666CD" w:rsidRDefault="00E666CD" w:rsidP="00E666CD">
      <w:pPr>
        <w:jc w:val="both"/>
      </w:pPr>
      <w:r w:rsidRPr="00E666CD">
        <w:rPr>
          <w:noProof/>
          <w:lang w:eastAsia="pl-PL"/>
        </w:rPr>
        <w:drawing>
          <wp:inline distT="0" distB="0" distL="0" distR="0">
            <wp:extent cx="5757062" cy="2735885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71512" w:rsidRDefault="00171512" w:rsidP="00171512">
      <w:pPr>
        <w:ind w:firstLine="709"/>
        <w:jc w:val="both"/>
      </w:pPr>
      <w:r>
        <w:t xml:space="preserve">Analiza szczegółowych wymagań pracodawców, którzy potwierdzili, że oczekują doświadczenia od kandydatów do pracy </w:t>
      </w:r>
      <w:r w:rsidR="00F94252" w:rsidRPr="00CE68B0">
        <w:t xml:space="preserve">(tabela 1) </w:t>
      </w:r>
      <w:r w:rsidRPr="00CE68B0">
        <w:t>wskazuje</w:t>
      </w:r>
      <w:r>
        <w:t xml:space="preserve">, że najczęściej (w 41,7% przypadków) poszukiwane będą osoby posiadające od roku do 2 lat doświadczenia ogólnego, również w przypadku doświadczenia na podobnym stanowisku – najczęściej (w prawie połowie przypadków) poszukiwane będą osoby z doświadczeniem od roku do 2 lat. </w:t>
      </w:r>
    </w:p>
    <w:p w:rsidR="00E666CD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lastRenderedPageBreak/>
        <w:t xml:space="preserve">Tabela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Tabela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1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E666CD" w:rsidRPr="00CE68B0">
        <w:rPr>
          <w:color w:val="000000" w:themeColor="text1"/>
        </w:rPr>
        <w:t>Doświadczenie zawodowe oczekiwane od kandydatów na planowane do utworzenia stanowiska pracy</w:t>
      </w:r>
    </w:p>
    <w:tbl>
      <w:tblPr>
        <w:tblW w:w="5000" w:type="pct"/>
        <w:tblCellMar>
          <w:left w:w="0" w:type="dxa"/>
          <w:right w:w="0" w:type="dxa"/>
        </w:tblCellMar>
        <w:tblLook w:val="0420"/>
      </w:tblPr>
      <w:tblGrid>
        <w:gridCol w:w="2333"/>
        <w:gridCol w:w="2347"/>
        <w:gridCol w:w="2333"/>
        <w:gridCol w:w="2347"/>
      </w:tblGrid>
      <w:tr w:rsidR="00E666CD" w:rsidRPr="00E666CD" w:rsidTr="00E666CD">
        <w:trPr>
          <w:trHeight w:val="462"/>
        </w:trPr>
        <w:tc>
          <w:tcPr>
            <w:tcW w:w="25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CD4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ogólne</w:t>
            </w:r>
          </w:p>
        </w:tc>
        <w:tc>
          <w:tcPr>
            <w:tcW w:w="2500" w:type="pct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CD4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na podobnym stanowisku</w:t>
            </w:r>
          </w:p>
        </w:tc>
      </w:tr>
      <w:tr w:rsidR="00E666CD" w:rsidRPr="00E666CD" w:rsidTr="00E666CD">
        <w:trPr>
          <w:trHeight w:val="420"/>
        </w:trPr>
        <w:tc>
          <w:tcPr>
            <w:tcW w:w="124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krótsze niż rok</w:t>
            </w:r>
          </w:p>
        </w:tc>
        <w:tc>
          <w:tcPr>
            <w:tcW w:w="12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13,6%</w:t>
            </w:r>
          </w:p>
        </w:tc>
        <w:tc>
          <w:tcPr>
            <w:tcW w:w="124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krótsze niż rok</w:t>
            </w:r>
          </w:p>
        </w:tc>
        <w:tc>
          <w:tcPr>
            <w:tcW w:w="1254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18,6%</w:t>
            </w:r>
          </w:p>
        </w:tc>
      </w:tr>
      <w:tr w:rsidR="00E666CD" w:rsidRPr="00E666CD" w:rsidTr="00E666CD">
        <w:trPr>
          <w:trHeight w:val="420"/>
        </w:trPr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od roku do 2 lat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41,7%</w:t>
            </w:r>
          </w:p>
        </w:tc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od roku do 2 lat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47,7%</w:t>
            </w:r>
          </w:p>
        </w:tc>
      </w:tr>
      <w:tr w:rsidR="00E666CD" w:rsidRPr="00E666CD" w:rsidTr="00E666CD">
        <w:trPr>
          <w:trHeight w:val="420"/>
        </w:trPr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od 2 lat do 5 lat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30,0%</w:t>
            </w:r>
          </w:p>
        </w:tc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od 2 lat do 5 lat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22,3%</w:t>
            </w:r>
          </w:p>
        </w:tc>
      </w:tr>
      <w:tr w:rsidR="00E666CD" w:rsidRPr="00E666CD" w:rsidTr="00E666CD">
        <w:trPr>
          <w:trHeight w:val="420"/>
        </w:trPr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powyżej 5 lat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8,5%</w:t>
            </w:r>
          </w:p>
        </w:tc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powyżej 5 lat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7E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4,0%</w:t>
            </w:r>
          </w:p>
        </w:tc>
      </w:tr>
      <w:tr w:rsidR="00E666CD" w:rsidRPr="00E666CD" w:rsidTr="00E666CD">
        <w:trPr>
          <w:trHeight w:val="420"/>
        </w:trPr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nie będzie wymagane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6,2%</w:t>
            </w:r>
          </w:p>
        </w:tc>
        <w:tc>
          <w:tcPr>
            <w:tcW w:w="124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both"/>
            </w:pPr>
            <w:r w:rsidRPr="00E666CD">
              <w:rPr>
                <w:bCs/>
              </w:rPr>
              <w:t>nie będzie wymagane</w:t>
            </w:r>
          </w:p>
        </w:tc>
        <w:tc>
          <w:tcPr>
            <w:tcW w:w="125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3EFCD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77224" w:rsidRPr="00E666CD" w:rsidRDefault="00E666CD" w:rsidP="00E666CD">
            <w:pPr>
              <w:spacing w:after="0" w:line="240" w:lineRule="auto"/>
              <w:jc w:val="center"/>
            </w:pPr>
            <w:r w:rsidRPr="00E666CD">
              <w:rPr>
                <w:bCs/>
              </w:rPr>
              <w:t>7,4%</w:t>
            </w:r>
          </w:p>
        </w:tc>
      </w:tr>
    </w:tbl>
    <w:p w:rsidR="00EB0EBE" w:rsidRDefault="00EB0EBE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</w:p>
    <w:p w:rsidR="00171512" w:rsidRPr="002F4076" w:rsidRDefault="002F4076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5" w:name="_Toc530033285"/>
      <w:r>
        <w:rPr>
          <w:rFonts w:asciiTheme="minorHAnsi" w:hAnsiTheme="minorHAnsi"/>
          <w:color w:val="auto"/>
          <w:sz w:val="22"/>
          <w:szCs w:val="22"/>
        </w:rPr>
        <w:t>1.5</w:t>
      </w:r>
      <w:r w:rsidRPr="002F4076">
        <w:rPr>
          <w:rFonts w:asciiTheme="minorHAnsi" w:hAnsiTheme="minorHAnsi"/>
          <w:color w:val="auto"/>
          <w:sz w:val="22"/>
          <w:szCs w:val="22"/>
        </w:rPr>
        <w:t xml:space="preserve"> Oczekiwane kwalifikacje i kompetencje</w:t>
      </w:r>
      <w:bookmarkEnd w:id="5"/>
    </w:p>
    <w:p w:rsidR="00171512" w:rsidRDefault="00171512" w:rsidP="00171512">
      <w:pPr>
        <w:ind w:firstLine="709"/>
        <w:jc w:val="both"/>
      </w:pPr>
      <w:r>
        <w:t>W kontekście poszukiwanych u kandydatów do pracy kwalifikacji – najbardziej oczekiwane są kwalifikacje stricte zawodowe: dotyczące obsługi maszyn i urządzeń (27,8%), dotyczące wykonywania czynności innych niż obsługa urządzeń (24,9%) oraz dotyczące obsługi programów komputerowych (24,6%). Znamienny jest fakt, że aż w 1/4 przypadków (22,6%) pracodawcy nie wskazują konkretnych oczekiwań w tym zakresie oraz, że w odniesieniu do 1/4 przypadków (26,2%) nie potrafili tego określić.</w:t>
      </w:r>
    </w:p>
    <w:p w:rsidR="00171512" w:rsidRDefault="00171512" w:rsidP="00171512">
      <w:pPr>
        <w:ind w:firstLine="709"/>
        <w:jc w:val="both"/>
      </w:pPr>
      <w:r>
        <w:t>Bardzo istotne w opinii pracodawców okazały się kompetencje wymagane od kandydatów na wskazane stanowiska pracy. W sumie odnieśli się oni do 34 kompetencji podzielonych na trzy grupy: kompetencje osobiste, społeczne i menedżerskie. Najbardziej ogólny wniosek jest taki, że do kompetencji, czyli tzw. miękkiej strony funkcjonowania człowieka w środowisku zawodowym, pracodawcy przykładają ogromną wagę. Z kompetencji osobistych pierwszorzędna jest dla nich chęć do pracy (na jej znaczenie wskazało aż 93,5% pracodawców). Od około 50% do około 80% wskazań dotyczyło takich kompetencji jak: odpowiedzialność, pracowitość, uczciwość, samodzielność, chęć do nauki i rozwoju, dobra organizacja pracy, rzetelność, sumienność, punktualność, dyspozycyjność, lojalność, wysoka kultura osobista – jedn</w:t>
      </w:r>
      <w:r w:rsidR="00084D06">
        <w:t>ocześnie</w:t>
      </w:r>
      <w:r>
        <w:t xml:space="preserve"> pozostałe kompetencje były wskazywane przez niewiele mniejszy odsetek pracodawców. Wśród kompetencji społecznych nadrzędne okazały się umiejętność współpracy w grupie (79,7%) oraz komunikatywność (73%) – pozostałe, takie jak bezkonfliktowość, otwartość na innych okazały się również istotne(odpowiednio 61,9% i 44,4%).</w:t>
      </w:r>
    </w:p>
    <w:p w:rsidR="00DA0B44" w:rsidRPr="002F4076" w:rsidRDefault="00DA0B44" w:rsidP="002F4076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6" w:name="_Toc530033286"/>
      <w:r w:rsidRPr="002F4076">
        <w:rPr>
          <w:rFonts w:asciiTheme="minorHAnsi" w:hAnsiTheme="minorHAnsi"/>
          <w:color w:val="auto"/>
          <w:sz w:val="22"/>
          <w:szCs w:val="22"/>
        </w:rPr>
        <w:t>1.</w:t>
      </w:r>
      <w:r w:rsidR="002F4076" w:rsidRPr="002F4076">
        <w:rPr>
          <w:rFonts w:asciiTheme="minorHAnsi" w:hAnsiTheme="minorHAnsi"/>
          <w:color w:val="auto"/>
          <w:sz w:val="22"/>
          <w:szCs w:val="22"/>
        </w:rPr>
        <w:t>6</w:t>
      </w:r>
      <w:r w:rsidRPr="002F4076">
        <w:rPr>
          <w:rFonts w:asciiTheme="minorHAnsi" w:hAnsiTheme="minorHAnsi"/>
          <w:color w:val="auto"/>
          <w:sz w:val="22"/>
          <w:szCs w:val="22"/>
        </w:rPr>
        <w:t xml:space="preserve"> Trudności ze znalezieniem pracowników</w:t>
      </w:r>
      <w:bookmarkEnd w:id="6"/>
    </w:p>
    <w:p w:rsidR="00171512" w:rsidRDefault="00171512" w:rsidP="00171512">
      <w:pPr>
        <w:ind w:firstLine="709"/>
        <w:jc w:val="both"/>
      </w:pPr>
      <w:r>
        <w:t>W województwie podkarpackim występowanie problemów ze znalezieniem odpowiedniego pracownika zadeklarowało aż 54,5% pracodawców (postawę zdecydowaną wyraziło 39,6% pracodawców). Najwięcej problemów</w:t>
      </w:r>
      <w:r w:rsidR="009B0655">
        <w:t xml:space="preserve"> </w:t>
      </w:r>
      <w:r>
        <w:t xml:space="preserve">ze znalezieniem odpowiedniego pracownika </w:t>
      </w:r>
      <w:r w:rsidR="009B0655" w:rsidRPr="00CE68B0">
        <w:t xml:space="preserve">(mapa 2) </w:t>
      </w:r>
      <w:r w:rsidRPr="00CE68B0">
        <w:t>zadeklarowali pracodawcy z powiatu stalowowolskiego oraz łańcuckiego, a w 13 powiatach odsetek</w:t>
      </w:r>
      <w:r>
        <w:t xml:space="preserve"> wskazań przewyższa wskaźnik wojewódzki (54,5%). Z kolei najmniej takich problemów mają pracodawcy z powiatu leskiego i lubaczowskiego</w:t>
      </w:r>
      <w:r w:rsidR="009B0655">
        <w:t xml:space="preserve"> – ale nadal dotyczy to niemal połowy pracodawców z tych terenów</w:t>
      </w:r>
      <w:r>
        <w:t>.</w:t>
      </w:r>
    </w:p>
    <w:p w:rsidR="00CE68B0" w:rsidRDefault="00CE68B0">
      <w:r>
        <w:br w:type="page"/>
      </w:r>
    </w:p>
    <w:p w:rsidR="00563493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lastRenderedPageBreak/>
        <w:t xml:space="preserve">Mapa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Mapa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2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563493" w:rsidRPr="00CE68B0">
        <w:rPr>
          <w:color w:val="000000" w:themeColor="text1"/>
        </w:rPr>
        <w:t>Odsetek pracodawców deklarujących trudności ze znalezieniem pracowników na wolne miejsca pracy</w:t>
      </w:r>
    </w:p>
    <w:p w:rsidR="00563493" w:rsidRDefault="00563493" w:rsidP="00563493">
      <w:pPr>
        <w:jc w:val="both"/>
      </w:pPr>
      <w:r>
        <w:rPr>
          <w:noProof/>
          <w:lang w:eastAsia="pl-PL"/>
        </w:rPr>
        <w:drawing>
          <wp:inline distT="0" distB="0" distL="0" distR="0">
            <wp:extent cx="3816306" cy="4491532"/>
            <wp:effectExtent l="0" t="0" r="0" b="4445"/>
            <wp:docPr id="60" name="Obraz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782" cy="4494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1512" w:rsidRDefault="00171512" w:rsidP="00171512">
      <w:pPr>
        <w:ind w:firstLine="709"/>
        <w:jc w:val="both"/>
      </w:pPr>
      <w:r>
        <w:t>W kontekście problemów ze znalezieniem pracowników istotne jest porównanie w</w:t>
      </w:r>
      <w:r w:rsidR="000C3252">
        <w:t> </w:t>
      </w:r>
      <w:r>
        <w:t xml:space="preserve">poszczególnych powiatach odsetków pracodawców, którzy zgłaszają w/w problemy z odsetkami tych, którzy zgłaszają zapotrzebowanie na pracowników. </w:t>
      </w:r>
      <w:r w:rsidR="00563493">
        <w:t>A</w:t>
      </w:r>
      <w:r>
        <w:t>naliza dotyc</w:t>
      </w:r>
      <w:r w:rsidR="000C3252">
        <w:t>ząca tej kwestii pokazuje, że w </w:t>
      </w:r>
      <w:r>
        <w:t>województwie podkarpackim te dwie charakterystyki są ze sobą ściśle powiązane – w tych powiatach, w których jest największe zapotrzebowanie na pracowników, występują również największe problemy z ich znalezieniem. Oznacza to pewnego rodzaju wydrenowanie pracow</w:t>
      </w:r>
      <w:r w:rsidR="000C3252">
        <w:t>ników o </w:t>
      </w:r>
      <w:r>
        <w:t xml:space="preserve">odpowiednich kwalifikacjach i kompetencjach, </w:t>
      </w:r>
      <w:r w:rsidR="00563493">
        <w:t xml:space="preserve">co oznacza, że </w:t>
      </w:r>
      <w:r>
        <w:t>bez odpowiednich działań dążących do zaktywizowania i przygotowania do zatrudnienia nowych kadr – problem ten będzie narastać.</w:t>
      </w:r>
    </w:p>
    <w:p w:rsidR="00171512" w:rsidRDefault="00171512" w:rsidP="00171512">
      <w:pPr>
        <w:ind w:firstLine="709"/>
        <w:jc w:val="both"/>
      </w:pPr>
      <w:r>
        <w:t>Analiza problemów z pozyskaniem pracownika w grupach przedsiębiorstw uwzględniających poziom zatrudnienia wskazuje, że problemy te w znacznym stopniu (dotyczy połowy lub więcej pracodawców) występują w niemal wszystkich grupach przedsiębiorstw – najczęściej zgłaszają je przedstawiciele firm dużych (71,4%) i największych (80,0%).</w:t>
      </w:r>
    </w:p>
    <w:p w:rsidR="00171512" w:rsidRDefault="00171512" w:rsidP="00171512">
      <w:pPr>
        <w:ind w:firstLine="709"/>
        <w:jc w:val="both"/>
      </w:pPr>
      <w:r>
        <w:t xml:space="preserve">Kategorie  problemów ze znalezieniem odpowiedniego </w:t>
      </w:r>
      <w:r w:rsidRPr="00CE68B0">
        <w:t>pracownika</w:t>
      </w:r>
      <w:r w:rsidR="009B0655" w:rsidRPr="00CE68B0">
        <w:t xml:space="preserve"> (wykres 5)</w:t>
      </w:r>
      <w:r w:rsidRPr="00CE68B0">
        <w:t>, z</w:t>
      </w:r>
      <w:r>
        <w:t xml:space="preserve"> którymi kiedykolwiek borykali się pracodawcy, odnoszą się w głównej mierze do postaw potencjalnych pracowników i dopasowania ich kwalifikacji do potrzeb pracodawców (trzy najczęściej wskazywane problemy to: „brak osób o odpowiednich umiejętnościach zawodowych” – 25,1%; „kandydaci mają niski poziom motywacji do pracy” – 15,8% oraz „brak osób posiadających odpowiednie kompetencje” – 14,7%). Jednocześnie łącznie aż 68,5% wskazań dotyczy czynników związanych z kwalifikacjami (brak osób o odpowiednich umiejętnościach zawodowych, </w:t>
      </w:r>
      <w:r w:rsidR="000C3252">
        <w:t xml:space="preserve">z odpowiednimi kompetencjami, </w:t>
      </w:r>
      <w:r w:rsidR="000C3252">
        <w:lastRenderedPageBreak/>
        <w:t>z </w:t>
      </w:r>
      <w:r>
        <w:t>poszukiwanym zawodem, z odpowiednim doświadczeniem, z wymaganymi uprawnieniami) – co dowodzi, że najczęstszy problem na jaki natrafiają pracodawcy, to brak osób o odpowiednim przygotowaniu zawodowym (adekwatnych do wymagań kwalifikacjach).</w:t>
      </w:r>
    </w:p>
    <w:p w:rsidR="00842EC1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5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9B0655" w:rsidRPr="00CE68B0">
        <w:rPr>
          <w:color w:val="000000" w:themeColor="text1"/>
        </w:rPr>
        <w:t>Szczegółowe problemy ze znalezieniem pracownika – wskazania pracodawców</w:t>
      </w:r>
    </w:p>
    <w:p w:rsidR="00563493" w:rsidRDefault="00563493" w:rsidP="00563493">
      <w:pPr>
        <w:jc w:val="both"/>
      </w:pPr>
      <w:r w:rsidRPr="00563493">
        <w:rPr>
          <w:noProof/>
          <w:lang w:eastAsia="pl-PL"/>
        </w:rPr>
        <w:drawing>
          <wp:inline distT="0" distB="0" distL="0" distR="0">
            <wp:extent cx="5762445" cy="4796287"/>
            <wp:effectExtent l="0" t="0" r="9705" b="0"/>
            <wp:docPr id="61" name="Wykres 6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D0740" w:rsidRDefault="00CD0740" w:rsidP="00171512">
      <w:pPr>
        <w:ind w:firstLine="709"/>
        <w:jc w:val="both"/>
      </w:pPr>
      <w:r>
        <w:t xml:space="preserve">W sytuacji </w:t>
      </w:r>
      <w:r w:rsidR="00B46656">
        <w:t xml:space="preserve">niedoboru pracowników o oczekiwanych kwalifikacjach </w:t>
      </w:r>
      <w:r>
        <w:t>zaskakujące jest, że jedynie co piąty pracodawca deklarujący trudności ze znalezieniem odpowiedniej kadry podejmuje współpracę z instytucjami edukacyjnymi</w:t>
      </w:r>
      <w:r w:rsidR="00B46656" w:rsidRPr="00CE68B0">
        <w:rPr>
          <w:rStyle w:val="Odwoanieprzypisudolnego"/>
        </w:rPr>
        <w:footnoteReference w:id="4"/>
      </w:r>
      <w:r w:rsidR="00B8605D" w:rsidRPr="00CE68B0">
        <w:t xml:space="preserve"> (wykres 6)</w:t>
      </w:r>
      <w:r w:rsidRPr="00CE68B0">
        <w:t>. W</w:t>
      </w:r>
      <w:r>
        <w:t xml:space="preserve"> większości przypadków pracodawcy reagują zatrudnianiem osób, które nie posiadają wymaganych umiejętności lub kwalifikacji, ale posiadają potencjał, aby je zdobyć</w:t>
      </w:r>
      <w:r w:rsidR="00B8605D">
        <w:t xml:space="preserve"> lub rezygnują z zatrudniania nowych pracowników, inwestując w kwalifikacje dotychczasowej kadry</w:t>
      </w:r>
      <w:r>
        <w:t>.</w:t>
      </w:r>
    </w:p>
    <w:p w:rsidR="00CE68B0" w:rsidRDefault="00CE68B0" w:rsidP="00171512">
      <w:pPr>
        <w:ind w:firstLine="709"/>
        <w:jc w:val="both"/>
      </w:pPr>
    </w:p>
    <w:p w:rsidR="00CD0740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lastRenderedPageBreak/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6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CD0740" w:rsidRPr="00CE68B0">
        <w:rPr>
          <w:color w:val="000000" w:themeColor="text1"/>
        </w:rPr>
        <w:t>Reakcje pracodawców w odpowiedzi na niedobór pracowników</w:t>
      </w:r>
    </w:p>
    <w:p w:rsidR="00CD0740" w:rsidRDefault="00CD0740" w:rsidP="00CD0740">
      <w:pPr>
        <w:jc w:val="both"/>
      </w:pPr>
      <w:r w:rsidRPr="00CD0740">
        <w:rPr>
          <w:noProof/>
          <w:lang w:eastAsia="pl-PL"/>
        </w:rPr>
        <w:drawing>
          <wp:inline distT="0" distB="0" distL="0" distR="0">
            <wp:extent cx="5760720" cy="2984477"/>
            <wp:effectExtent l="0" t="0" r="0" b="0"/>
            <wp:docPr id="63" name="Wykres 6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27883" w:rsidRDefault="00B27883" w:rsidP="00B27883">
      <w:pPr>
        <w:pStyle w:val="Akapitzlist"/>
        <w:jc w:val="both"/>
        <w:outlineLvl w:val="0"/>
        <w:rPr>
          <w:b/>
          <w:sz w:val="28"/>
        </w:rPr>
      </w:pPr>
    </w:p>
    <w:p w:rsidR="00842EC1" w:rsidRPr="00CD0740" w:rsidRDefault="00842EC1" w:rsidP="00842EC1">
      <w:pPr>
        <w:pStyle w:val="Akapitzlist"/>
        <w:numPr>
          <w:ilvl w:val="0"/>
          <w:numId w:val="7"/>
        </w:numPr>
        <w:jc w:val="both"/>
        <w:outlineLvl w:val="0"/>
        <w:rPr>
          <w:b/>
          <w:sz w:val="28"/>
        </w:rPr>
      </w:pPr>
      <w:bookmarkStart w:id="7" w:name="_Toc530033287"/>
      <w:r w:rsidRPr="00CD0740">
        <w:rPr>
          <w:b/>
          <w:sz w:val="28"/>
        </w:rPr>
        <w:t>Kształcenie zawodowe na Podkarpaciu</w:t>
      </w:r>
      <w:bookmarkEnd w:id="7"/>
    </w:p>
    <w:p w:rsidR="00CD0740" w:rsidRPr="002F4076" w:rsidRDefault="00CD0740" w:rsidP="00CD0740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8" w:name="_Toc530033288"/>
      <w:r>
        <w:rPr>
          <w:rFonts w:asciiTheme="minorHAnsi" w:hAnsiTheme="minorHAnsi"/>
          <w:color w:val="auto"/>
          <w:sz w:val="22"/>
          <w:szCs w:val="22"/>
        </w:rPr>
        <w:t>2.</w:t>
      </w:r>
      <w:r w:rsidRPr="002F4076">
        <w:rPr>
          <w:rFonts w:asciiTheme="minorHAnsi" w:hAnsiTheme="minorHAnsi"/>
          <w:color w:val="auto"/>
          <w:sz w:val="22"/>
          <w:szCs w:val="22"/>
        </w:rPr>
        <w:t xml:space="preserve">1 </w:t>
      </w:r>
      <w:r>
        <w:rPr>
          <w:rFonts w:asciiTheme="minorHAnsi" w:hAnsiTheme="minorHAnsi"/>
          <w:color w:val="auto"/>
          <w:sz w:val="22"/>
          <w:szCs w:val="22"/>
        </w:rPr>
        <w:t>Kierunki kształcenia</w:t>
      </w:r>
      <w:bookmarkEnd w:id="8"/>
    </w:p>
    <w:p w:rsidR="00171512" w:rsidRDefault="00171512" w:rsidP="00171512">
      <w:pPr>
        <w:ind w:firstLine="709"/>
        <w:jc w:val="both"/>
      </w:pPr>
      <w:r>
        <w:t xml:space="preserve">W szkołach ponadgimnazjalnych o profilu zawodowym w naszym województwie uczy się </w:t>
      </w:r>
      <w:r w:rsidR="0001572E">
        <w:t>(w</w:t>
      </w:r>
      <w:r w:rsidR="000C3252">
        <w:t> </w:t>
      </w:r>
      <w:r w:rsidR="0001572E">
        <w:t xml:space="preserve">roku szkolnym 2017/2018) </w:t>
      </w:r>
      <w:r>
        <w:t>55 280 uczniów (z pominięciem kształcenia w zawodach artystycznych: muzyka i plastyka), w tym 2 759 w szkołach branżowych I stopnia, 6 103 w zasadniczych</w:t>
      </w:r>
      <w:r w:rsidR="0001572E">
        <w:t xml:space="preserve"> szkołach zawodowych (łącznie 8 </w:t>
      </w:r>
      <w:r>
        <w:t>862 uczniów), 34 589 – w technikach, 11 800 w szkoł</w:t>
      </w:r>
      <w:r w:rsidR="0001572E">
        <w:t>ach policealnych oraz 29</w:t>
      </w:r>
      <w:r w:rsidR="00B27883">
        <w:t> </w:t>
      </w:r>
      <w:r w:rsidR="0001572E">
        <w:t>osób w </w:t>
      </w:r>
      <w:r>
        <w:t>pomaturalnym studium animatorów kultury. Odnosząc się do oczekiwanych przez pracodawców kwalifikacji – widoczna jest nadwyżka wyborów związanych z zawodami na poziomie średnim (technika) i policealnym w stosunku do wyborów zawodów robotniczych (na poziomie zasadniczej szkoły zawodowej / szkoły branżowej I stopnia). Biorąc jednak pod uwagę tendencję do profesjonalizacji kadr i ich lepszego dostosowywania się do ofert pracy we własnym zawodzie oraz zawodach pokrewnych – nadwyżka techników nie powinna martwić w kolejnych latach.</w:t>
      </w:r>
    </w:p>
    <w:p w:rsidR="00EB4D7C" w:rsidRDefault="00171512" w:rsidP="00171512">
      <w:pPr>
        <w:ind w:firstLine="709"/>
        <w:jc w:val="both"/>
      </w:pPr>
      <w:r>
        <w:t>Wśród zawodów nauczanych na poziomie szkoły branżowej I stopnia oraz zasadniczej szkoły zawodowej – najwięcej kształci się</w:t>
      </w:r>
      <w:r w:rsidR="00EB4D7C">
        <w:t>:</w:t>
      </w:r>
    </w:p>
    <w:p w:rsidR="00EB4D7C" w:rsidRDefault="00171512" w:rsidP="00EB4D7C">
      <w:pPr>
        <w:pStyle w:val="Akapitzlist"/>
        <w:numPr>
          <w:ilvl w:val="0"/>
          <w:numId w:val="6"/>
        </w:numPr>
        <w:jc w:val="both"/>
      </w:pPr>
      <w:r>
        <w:t xml:space="preserve">mechaników pojazdów samochodowych (1 939 osób), </w:t>
      </w:r>
    </w:p>
    <w:p w:rsidR="00EB4D7C" w:rsidRDefault="00171512" w:rsidP="00EB4D7C">
      <w:pPr>
        <w:pStyle w:val="Akapitzlist"/>
        <w:numPr>
          <w:ilvl w:val="0"/>
          <w:numId w:val="6"/>
        </w:numPr>
        <w:jc w:val="both"/>
      </w:pPr>
      <w:r>
        <w:t>kucharzy (1</w:t>
      </w:r>
      <w:r w:rsidR="0001572E">
        <w:t> </w:t>
      </w:r>
      <w:r>
        <w:t xml:space="preserve">219 osób), </w:t>
      </w:r>
    </w:p>
    <w:p w:rsidR="00EB4D7C" w:rsidRDefault="00171512" w:rsidP="00EB4D7C">
      <w:pPr>
        <w:pStyle w:val="Akapitzlist"/>
        <w:numPr>
          <w:ilvl w:val="0"/>
          <w:numId w:val="6"/>
        </w:numPr>
        <w:jc w:val="both"/>
      </w:pPr>
      <w:r>
        <w:t xml:space="preserve">monterów zabudowy i robót wykończeniowych w budownictwie (1 058 osób). </w:t>
      </w:r>
    </w:p>
    <w:p w:rsidR="00171512" w:rsidRDefault="00171512" w:rsidP="00171512">
      <w:pPr>
        <w:ind w:firstLine="709"/>
        <w:jc w:val="both"/>
      </w:pPr>
      <w:r>
        <w:t xml:space="preserve">Na poziomie średnim zawodowym uczy się m.in.: 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 xml:space="preserve">4 974 techników informatyków (od kilku lat jest to zawód o rekordowo wysokiej liczbie uczniów), 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 xml:space="preserve">3 791 techników żywienia i usług gastronomicznych, 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 xml:space="preserve">2 625 techników ekonomistów, 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2 342 techników mechaników, 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2 337 techników pojazdów samochodowych,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1 843 techników logistyków,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1 726 techników mechatroników,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1 703 techników budownictwa,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1 183 techników usług fryzjerskich,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1 162 techników hotelarstwa,</w:t>
      </w:r>
    </w:p>
    <w:p w:rsidR="00171512" w:rsidRDefault="00171512" w:rsidP="00171512">
      <w:pPr>
        <w:pStyle w:val="Akapitzlist"/>
        <w:numPr>
          <w:ilvl w:val="0"/>
          <w:numId w:val="6"/>
        </w:numPr>
        <w:jc w:val="both"/>
      </w:pPr>
      <w:r>
        <w:t>1 089 techników elektroników.</w:t>
      </w:r>
    </w:p>
    <w:p w:rsidR="00B46656" w:rsidRDefault="00171512" w:rsidP="00171512">
      <w:pPr>
        <w:ind w:firstLine="709"/>
        <w:jc w:val="both"/>
      </w:pPr>
      <w:r>
        <w:t>Wśród osób kształcących się w szkołach policealnych – najwięcej jest</w:t>
      </w:r>
      <w:r w:rsidR="00B46656">
        <w:t>:</w:t>
      </w:r>
    </w:p>
    <w:p w:rsidR="00EB4D7C" w:rsidRDefault="00171512" w:rsidP="00EB4D7C">
      <w:pPr>
        <w:pStyle w:val="Akapitzlist"/>
        <w:numPr>
          <w:ilvl w:val="0"/>
          <w:numId w:val="6"/>
        </w:numPr>
        <w:jc w:val="both"/>
      </w:pPr>
      <w:r>
        <w:t>techników usług kosmetycznych</w:t>
      </w:r>
      <w:r w:rsidR="00EB4D7C">
        <w:t xml:space="preserve"> (obecnie kształci się 1 867 osób)</w:t>
      </w:r>
      <w:r>
        <w:t xml:space="preserve">, </w:t>
      </w:r>
    </w:p>
    <w:p w:rsidR="00EB4D7C" w:rsidRDefault="00B27883" w:rsidP="00EB4D7C">
      <w:pPr>
        <w:pStyle w:val="Akapitzlist"/>
        <w:numPr>
          <w:ilvl w:val="0"/>
          <w:numId w:val="6"/>
        </w:numPr>
        <w:jc w:val="both"/>
      </w:pPr>
      <w:r>
        <w:t xml:space="preserve">techników bezpieczeństwa i </w:t>
      </w:r>
      <w:r w:rsidR="00171512">
        <w:t>higieny pracy</w:t>
      </w:r>
      <w:r w:rsidR="00EB4D7C">
        <w:t xml:space="preserve"> (obecnie kształci się 1 838 osób),</w:t>
      </w:r>
      <w:r w:rsidR="00171512">
        <w:t xml:space="preserve"> </w:t>
      </w:r>
    </w:p>
    <w:p w:rsidR="00171512" w:rsidRDefault="00171512" w:rsidP="00EB4D7C">
      <w:pPr>
        <w:pStyle w:val="Akapitzlist"/>
        <w:numPr>
          <w:ilvl w:val="0"/>
          <w:numId w:val="6"/>
        </w:numPr>
        <w:jc w:val="both"/>
      </w:pPr>
      <w:r>
        <w:t>techników administracji (obecnie kształci się 1 185 osób).</w:t>
      </w:r>
    </w:p>
    <w:p w:rsidR="00171512" w:rsidRDefault="00171512" w:rsidP="00171512">
      <w:pPr>
        <w:ind w:firstLine="709"/>
        <w:jc w:val="both"/>
      </w:pPr>
      <w:r>
        <w:t>Jeżeli chodzi o mapę województwa, to kształcenie w zawodach rozkłada się równomiernie – zwłaszcza w zawodach o najwyższych liczbach osób kształcących się – jest ono prowadzone niemal w</w:t>
      </w:r>
      <w:r w:rsidR="000C3252">
        <w:t> </w:t>
      </w:r>
      <w:r>
        <w:t>każdym powiecie. Trudno tu zauważyć jakąś lokalną specyfikę lub specjalizację.</w:t>
      </w:r>
    </w:p>
    <w:p w:rsidR="00171512" w:rsidRDefault="00171512" w:rsidP="00171512">
      <w:pPr>
        <w:ind w:firstLine="709"/>
        <w:jc w:val="both"/>
      </w:pPr>
      <w:r>
        <w:t xml:space="preserve">Kształcenie dla branż przedstawia znaczne </w:t>
      </w:r>
      <w:r w:rsidRPr="00CE68B0">
        <w:t>zróżnicowanie</w:t>
      </w:r>
      <w:r w:rsidR="005806EE" w:rsidRPr="00CE68B0">
        <w:t xml:space="preserve"> (wykres </w:t>
      </w:r>
      <w:r w:rsidR="00CD0740" w:rsidRPr="00CE68B0">
        <w:t>7</w:t>
      </w:r>
      <w:r w:rsidR="005806EE" w:rsidRPr="00CE68B0">
        <w:t>)</w:t>
      </w:r>
      <w:r w:rsidR="000C3252" w:rsidRPr="00CE68B0">
        <w:t>, jeżeli chodzi</w:t>
      </w:r>
      <w:r w:rsidR="000C3252">
        <w:t xml:space="preserve"> o </w:t>
      </w:r>
      <w:r>
        <w:t>liczebność uczniów przygotowujących się do pracy. Największa ich liczba zasilić może sektor administracyjno-ekonomiczny (w zawodach</w:t>
      </w:r>
      <w:r w:rsidR="005806EE">
        <w:t>:</w:t>
      </w:r>
      <w:r>
        <w:t xml:space="preserve"> technik administracji, technik archiwista, technik BHP, technik ekonomista, technik rachunkowości oraz technik usług pocztowych i finansowych kształci się obecnie 6 396 osób). Blisko 6 tysięcy osób (5 815) kształci się do pracy w branży gastron</w:t>
      </w:r>
      <w:r w:rsidR="000C3252">
        <w:t>omicznej – w </w:t>
      </w:r>
      <w:r>
        <w:t xml:space="preserve">zawodach: cukiernik, kucharz, piekarz, technik żywienia i usług gastronomicznych oraz kelner. Niewiele mniej uczymy w regionie informatyków, teleinformatyków oraz techników telekomunikacji (łącznie 5 561 osób) oraz osób planujących pracować w usługach (5 437 osób): florystów, fotografów, fototechników, fryzjerów oraz techników usług fryzjerskich, techników fotografii i multimediów, techników organizacji reklamy, techników usług kosmetycznych. Branża mechaniczna zyska 5 239 pracowników (elektromechaników, mechaników-monterów maszyn i urządzeń, operatorów obrabiarek skrawających, ślusarzy, techników automatyków, techników mechaników, techników mechatroników). </w:t>
      </w:r>
    </w:p>
    <w:p w:rsidR="000C3252" w:rsidRDefault="000C3252" w:rsidP="005806EE">
      <w:pPr>
        <w:jc w:val="both"/>
        <w:rPr>
          <w:highlight w:val="yellow"/>
        </w:rPr>
      </w:pPr>
    </w:p>
    <w:p w:rsidR="000C3252" w:rsidRDefault="000C3252" w:rsidP="005806EE">
      <w:pPr>
        <w:jc w:val="both"/>
        <w:rPr>
          <w:highlight w:val="yellow"/>
        </w:rPr>
      </w:pPr>
    </w:p>
    <w:p w:rsidR="000C3252" w:rsidRDefault="000C3252" w:rsidP="005806EE">
      <w:pPr>
        <w:jc w:val="both"/>
        <w:rPr>
          <w:highlight w:val="yellow"/>
        </w:rPr>
      </w:pPr>
    </w:p>
    <w:p w:rsidR="000C3252" w:rsidRDefault="000C3252" w:rsidP="005806EE">
      <w:pPr>
        <w:jc w:val="both"/>
        <w:rPr>
          <w:highlight w:val="yellow"/>
        </w:rPr>
      </w:pPr>
    </w:p>
    <w:p w:rsidR="000C3252" w:rsidRDefault="000C3252" w:rsidP="005806EE">
      <w:pPr>
        <w:jc w:val="both"/>
        <w:rPr>
          <w:highlight w:val="yellow"/>
        </w:rPr>
      </w:pPr>
    </w:p>
    <w:p w:rsidR="000C3252" w:rsidRDefault="000C3252" w:rsidP="005806EE">
      <w:pPr>
        <w:jc w:val="both"/>
        <w:rPr>
          <w:highlight w:val="yellow"/>
        </w:rPr>
      </w:pPr>
    </w:p>
    <w:p w:rsidR="00CE68B0" w:rsidRDefault="00CE68B0" w:rsidP="005806EE">
      <w:pPr>
        <w:jc w:val="both"/>
        <w:rPr>
          <w:highlight w:val="yellow"/>
        </w:rPr>
      </w:pPr>
    </w:p>
    <w:p w:rsidR="000C3252" w:rsidRDefault="000C3252" w:rsidP="005806EE">
      <w:pPr>
        <w:jc w:val="both"/>
        <w:rPr>
          <w:highlight w:val="yellow"/>
        </w:rPr>
      </w:pPr>
    </w:p>
    <w:p w:rsidR="005806EE" w:rsidRPr="00CE68B0" w:rsidRDefault="00CE68B0" w:rsidP="00CE68B0">
      <w:pPr>
        <w:pStyle w:val="Legenda"/>
        <w:rPr>
          <w:color w:val="000000" w:themeColor="text1"/>
        </w:rPr>
      </w:pPr>
      <w:r w:rsidRPr="00CE68B0">
        <w:rPr>
          <w:color w:val="000000" w:themeColor="text1"/>
        </w:rPr>
        <w:lastRenderedPageBreak/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7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5806EE" w:rsidRPr="00CE68B0">
        <w:rPr>
          <w:color w:val="000000" w:themeColor="text1"/>
        </w:rPr>
        <w:t>Liczba uczniów kształcących się w zawodach w podziale na branże (dane za rok szkolny 2017/2018)</w:t>
      </w:r>
    </w:p>
    <w:p w:rsidR="005806EE" w:rsidRDefault="005806EE" w:rsidP="005806EE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4272463"/>
            <wp:effectExtent l="0" t="0" r="0" b="0"/>
            <wp:docPr id="62" name="Wykres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A4D32" w:rsidRDefault="00171512" w:rsidP="00171512">
      <w:pPr>
        <w:ind w:firstLine="709"/>
        <w:jc w:val="both"/>
      </w:pPr>
      <w:r>
        <w:t>W kontekście potrzeb rynku zaskakująco wysoka jest liczba osób zdobywających zawód związany z ekonomią i administracją – zwłaszcza, że w większości przypadków praca w tym obszarze wymaga wykształcenia wyższego. Jednocześnie zdecydowana większość firm specjalistów z zakresu ekonomii i administracji potrzebuje nieporównywalnie mniej w stosunku do profesjonalnego personelu zajmującego się produkcją i wytwarzaniem (bezpośrednio związanego z główną działalnością przedsiębiorstwa). Tymczasem branża mechaniczna, związana z wiodącą inteligentną specjalizacją regionu w obszarze high-tech jest dopiero na piątym miejscu pod względem liczby przygotowywanej kadry.</w:t>
      </w:r>
    </w:p>
    <w:p w:rsidR="00B27883" w:rsidRDefault="00B27883" w:rsidP="00171512">
      <w:pPr>
        <w:ind w:firstLine="709"/>
        <w:jc w:val="both"/>
      </w:pPr>
    </w:p>
    <w:p w:rsidR="0054371A" w:rsidRPr="00CD0740" w:rsidRDefault="00CD0740" w:rsidP="00CD0740">
      <w:pPr>
        <w:pStyle w:val="Nagwek2"/>
        <w:spacing w:after="120"/>
        <w:rPr>
          <w:rFonts w:asciiTheme="minorHAnsi" w:hAnsiTheme="minorHAnsi"/>
          <w:color w:val="auto"/>
          <w:sz w:val="22"/>
          <w:szCs w:val="22"/>
        </w:rPr>
      </w:pPr>
      <w:bookmarkStart w:id="9" w:name="_Toc530033289"/>
      <w:r>
        <w:rPr>
          <w:rFonts w:asciiTheme="minorHAnsi" w:hAnsiTheme="minorHAnsi"/>
          <w:color w:val="auto"/>
          <w:sz w:val="22"/>
          <w:szCs w:val="22"/>
        </w:rPr>
        <w:t>2.2</w:t>
      </w:r>
      <w:r w:rsidRPr="002F4076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Ocena jakości kształcenia</w:t>
      </w:r>
      <w:bookmarkEnd w:id="9"/>
    </w:p>
    <w:p w:rsidR="00CD0740" w:rsidRDefault="005C0523" w:rsidP="00171512">
      <w:pPr>
        <w:ind w:firstLine="709"/>
        <w:jc w:val="both"/>
      </w:pPr>
      <w:r>
        <w:t>Pracodawcy, którzy zatrudniają absolwentów ocenili ich kwalifikacje i kompetencje na skali od niskiej do wysokiej w 4 kategoriach: wiedzy teoretycznej, umiejętności praktycznych</w:t>
      </w:r>
      <w:r w:rsidR="0008159E">
        <w:t xml:space="preserve">, umiejętności pracy z ludźmi oraz motywacji do </w:t>
      </w:r>
      <w:r w:rsidR="0008159E" w:rsidRPr="00CE68B0">
        <w:t>pracy (wykres 8).</w:t>
      </w:r>
      <w:r w:rsidRPr="00CE68B0">
        <w:rPr>
          <w:rStyle w:val="Odwoanieprzypisudolnego"/>
        </w:rPr>
        <w:footnoteReference w:id="5"/>
      </w:r>
      <w:r w:rsidR="0008159E" w:rsidRPr="00CE68B0">
        <w:t xml:space="preserve"> </w:t>
      </w:r>
      <w:r w:rsidR="00A364B5" w:rsidRPr="00CE68B0">
        <w:t>Ogólna</w:t>
      </w:r>
      <w:r w:rsidR="00A364B5">
        <w:t xml:space="preserve"> ocena (przy zastosowaniu skali, gdzie ocena niska = 1, a ocena wysoka = 5) oscylowała nieco poniżej wartości „4”, czyli „raczej wysokiej”. Najniższa średnia ocen dotyczyła umiejętności praktycznych, jednak różnica ta w stosunku do wiedzy teoretycznej nie była znacząco niższa. Podobnie oceniano umiejętność pracy w zespole oraz </w:t>
      </w:r>
      <w:r w:rsidR="00A364B5">
        <w:lastRenderedPageBreak/>
        <w:t>motywację do pracy. Ocena ta, zwłaszcza w tych ostatnich 2 elementach</w:t>
      </w:r>
      <w:r w:rsidR="00F07C21">
        <w:t>,</w:t>
      </w:r>
      <w:r w:rsidR="00A364B5">
        <w:t xml:space="preserve"> wydaje się nie dość satysfakcjonująca i na pewno wymaga jeszcze podnoszenia jakości i efektywności kształcenia.</w:t>
      </w:r>
    </w:p>
    <w:p w:rsidR="00186CFB" w:rsidRPr="00CE68B0" w:rsidRDefault="00CE68B0" w:rsidP="00CE68B0">
      <w:pPr>
        <w:pStyle w:val="Legenda"/>
        <w:ind w:left="1410" w:hanging="1410"/>
        <w:rPr>
          <w:color w:val="000000" w:themeColor="text1"/>
        </w:rPr>
      </w:pPr>
      <w:r w:rsidRPr="00CE68B0">
        <w:rPr>
          <w:color w:val="000000" w:themeColor="text1"/>
        </w:rPr>
        <w:t xml:space="preserve">Wykres </w:t>
      </w:r>
      <w:r w:rsidRPr="00CE68B0">
        <w:rPr>
          <w:color w:val="000000" w:themeColor="text1"/>
        </w:rPr>
        <w:fldChar w:fldCharType="begin"/>
      </w:r>
      <w:r w:rsidRPr="00CE68B0">
        <w:rPr>
          <w:color w:val="000000" w:themeColor="text1"/>
        </w:rPr>
        <w:instrText xml:space="preserve"> SEQ Wykres \* ARABIC </w:instrText>
      </w:r>
      <w:r w:rsidRPr="00CE68B0">
        <w:rPr>
          <w:color w:val="000000" w:themeColor="text1"/>
        </w:rPr>
        <w:fldChar w:fldCharType="separate"/>
      </w:r>
      <w:r w:rsidR="00C674BB">
        <w:rPr>
          <w:noProof/>
          <w:color w:val="000000" w:themeColor="text1"/>
        </w:rPr>
        <w:t>8</w:t>
      </w:r>
      <w:r w:rsidRPr="00CE68B0">
        <w:rPr>
          <w:color w:val="000000" w:themeColor="text1"/>
        </w:rPr>
        <w:fldChar w:fldCharType="end"/>
      </w:r>
      <w:r w:rsidRPr="00CE68B0">
        <w:rPr>
          <w:color w:val="000000" w:themeColor="text1"/>
        </w:rPr>
        <w:tab/>
      </w:r>
      <w:r w:rsidRPr="00CE68B0">
        <w:rPr>
          <w:color w:val="000000" w:themeColor="text1"/>
        </w:rPr>
        <w:tab/>
      </w:r>
      <w:r w:rsidR="0008159E" w:rsidRPr="00CE68B0">
        <w:rPr>
          <w:color w:val="000000" w:themeColor="text1"/>
        </w:rPr>
        <w:t>Ocena kompetencji absolwentów ponadgimnazjalnych szkół zawodowych w oczach zatrudniających ich pracodawców</w:t>
      </w:r>
      <w:r w:rsidR="00186CFB" w:rsidRPr="00CE68B0">
        <w:rPr>
          <w:color w:val="000000" w:themeColor="text1"/>
        </w:rPr>
        <w:t xml:space="preserve"> </w:t>
      </w:r>
    </w:p>
    <w:p w:rsidR="00186CFB" w:rsidRPr="00171512" w:rsidRDefault="00D44B25" w:rsidP="00186CFB">
      <w:pPr>
        <w:jc w:val="both"/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89.85pt;margin-top:214.75pt;width:288.55pt;height:22.4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" fillcolor="#d8d8d8 [2732]" stroked="f">
            <v:textbox>
              <w:txbxContent>
                <w:p w:rsidR="00523952" w:rsidRDefault="00523952" w:rsidP="005C0523">
                  <w:pPr>
                    <w:jc w:val="center"/>
                  </w:pPr>
                  <w:r>
                    <w:t>średnia ocena na skali, gdzie ocena niska = 1, wysoka = 5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27" type="#_x0000_t202" style="position:absolute;left:0;text-align:left;margin-left:419.3pt;margin-top:39.85pt;width:33.95pt;height:121.95pt;z-index:25166131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" filled="f" stroked="f">
            <v:textbox style="mso-fit-shape-to-text:t">
              <w:txbxContent>
                <w:p w:rsidR="00523952" w:rsidRPr="00132226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 w:rsidRPr="00132226">
                    <w:rPr>
                      <w:b/>
                    </w:rPr>
                    <w:t>3,8</w:t>
                  </w:r>
                </w:p>
                <w:p w:rsidR="00523952" w:rsidRPr="0008159E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</w:p>
                <w:p w:rsidR="00523952" w:rsidRPr="00132226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 w:rsidRPr="00132226">
                    <w:rPr>
                      <w:b/>
                    </w:rPr>
                    <w:t>3,6</w:t>
                  </w:r>
                </w:p>
                <w:p w:rsidR="00523952" w:rsidRPr="0008159E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  <w:sz w:val="32"/>
                    </w:rPr>
                  </w:pPr>
                </w:p>
                <w:p w:rsidR="00523952" w:rsidRPr="00132226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 w:rsidRPr="00132226">
                    <w:rPr>
                      <w:b/>
                    </w:rPr>
                    <w:t>3,7</w:t>
                  </w:r>
                </w:p>
                <w:p w:rsidR="00523952" w:rsidRPr="0008159E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  <w:sz w:val="36"/>
                    </w:rPr>
                  </w:pPr>
                </w:p>
                <w:p w:rsidR="00523952" w:rsidRPr="00132226" w:rsidRDefault="00523952" w:rsidP="00132226">
                  <w:pPr>
                    <w:shd w:val="clear" w:color="auto" w:fill="D9D9D9" w:themeFill="background1" w:themeFillShade="D9"/>
                    <w:spacing w:after="0" w:line="240" w:lineRule="auto"/>
                    <w:jc w:val="center"/>
                    <w:rPr>
                      <w:b/>
                    </w:rPr>
                  </w:pPr>
                  <w:r w:rsidRPr="00132226">
                    <w:rPr>
                      <w:b/>
                    </w:rPr>
                    <w:t>3,7</w:t>
                  </w:r>
                </w:p>
              </w:txbxContent>
            </v:textbox>
          </v:shape>
        </w:pict>
      </w:r>
      <w:r w:rsidR="00186CFB">
        <w:rPr>
          <w:noProof/>
          <w:lang w:eastAsia="pl-PL"/>
        </w:rPr>
        <w:drawing>
          <wp:inline distT="0" distB="0" distL="0" distR="0">
            <wp:extent cx="5757062" cy="2662732"/>
            <wp:effectExtent l="0" t="0" r="0" b="0"/>
            <wp:docPr id="64" name="Wykres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86CFB" w:rsidRDefault="00186CFB">
      <w:pPr>
        <w:rPr>
          <w:smallCaps/>
          <w:sz w:val="32"/>
        </w:rPr>
      </w:pPr>
    </w:p>
    <w:p w:rsidR="00171512" w:rsidRDefault="00171512">
      <w:pPr>
        <w:rPr>
          <w:smallCaps/>
          <w:sz w:val="32"/>
        </w:rPr>
      </w:pPr>
      <w:r>
        <w:rPr>
          <w:smallCaps/>
          <w:sz w:val="32"/>
        </w:rPr>
        <w:br w:type="page"/>
      </w:r>
    </w:p>
    <w:p w:rsidR="00EA4D32" w:rsidRPr="00606465" w:rsidRDefault="00171512" w:rsidP="00D4604E">
      <w:pPr>
        <w:pStyle w:val="Nagwek1"/>
        <w:jc w:val="both"/>
        <w:rPr>
          <w:rFonts w:asciiTheme="minorHAnsi" w:hAnsiTheme="minorHAnsi"/>
          <w:color w:val="auto"/>
          <w:sz w:val="22"/>
          <w:szCs w:val="22"/>
        </w:rPr>
      </w:pPr>
      <w:bookmarkStart w:id="10" w:name="_Toc530033290"/>
      <w:r w:rsidRPr="00606465">
        <w:rPr>
          <w:rFonts w:asciiTheme="minorHAnsi" w:hAnsiTheme="minorHAnsi"/>
          <w:color w:val="auto"/>
          <w:sz w:val="22"/>
          <w:szCs w:val="22"/>
        </w:rPr>
        <w:lastRenderedPageBreak/>
        <w:t xml:space="preserve">Załącznik Nr 1. </w:t>
      </w:r>
      <w:r w:rsidR="00EA4D32" w:rsidRPr="00606465">
        <w:rPr>
          <w:rFonts w:asciiTheme="minorHAnsi" w:hAnsiTheme="minorHAnsi"/>
          <w:color w:val="auto"/>
          <w:sz w:val="22"/>
          <w:szCs w:val="22"/>
        </w:rPr>
        <w:t>Lista zawodów wynikających z analizy potrzeb szkół zawodowych w kontekście wyzwań regionalnego</w:t>
      </w:r>
      <w:r w:rsidR="00FD26B0" w:rsidRPr="00606465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EA4D32" w:rsidRPr="00606465">
        <w:rPr>
          <w:rFonts w:asciiTheme="minorHAnsi" w:hAnsiTheme="minorHAnsi"/>
          <w:color w:val="auto"/>
          <w:sz w:val="22"/>
          <w:szCs w:val="22"/>
        </w:rPr>
        <w:t>rynku pracy</w:t>
      </w:r>
      <w:bookmarkEnd w:id="10"/>
    </w:p>
    <w:p w:rsidR="00EA4D32" w:rsidRDefault="00EA4D32" w:rsidP="006968FC">
      <w:pPr>
        <w:ind w:firstLine="709"/>
        <w:jc w:val="both"/>
      </w:pPr>
    </w:p>
    <w:p w:rsidR="00EA4D32" w:rsidRPr="00DA0B44" w:rsidRDefault="00842EC1" w:rsidP="00842EC1">
      <w:pPr>
        <w:pStyle w:val="Akapitzlist"/>
        <w:numPr>
          <w:ilvl w:val="1"/>
          <w:numId w:val="7"/>
        </w:numPr>
        <w:jc w:val="both"/>
        <w:outlineLvl w:val="1"/>
        <w:rPr>
          <w:b/>
        </w:rPr>
      </w:pPr>
      <w:bookmarkStart w:id="11" w:name="_Toc530033291"/>
      <w:r w:rsidRPr="00DA0B44">
        <w:rPr>
          <w:b/>
        </w:rPr>
        <w:t>Metodologia</w:t>
      </w:r>
      <w:bookmarkEnd w:id="11"/>
      <w:r w:rsidRPr="00DA0B44">
        <w:rPr>
          <w:b/>
        </w:rPr>
        <w:t xml:space="preserve"> </w:t>
      </w:r>
    </w:p>
    <w:p w:rsidR="006968FC" w:rsidRDefault="006968FC" w:rsidP="006968FC">
      <w:pPr>
        <w:ind w:firstLine="709"/>
        <w:jc w:val="both"/>
      </w:pPr>
      <w:r>
        <w:t xml:space="preserve">Analizie poddano łącznie </w:t>
      </w:r>
      <w:r w:rsidR="00FD26B0">
        <w:t xml:space="preserve">wszystkie </w:t>
      </w:r>
      <w:r>
        <w:t>213 zawodów</w:t>
      </w:r>
      <w:r w:rsidR="00FD26B0">
        <w:t xml:space="preserve"> widniejących w klasyfikacji zawodów szkolnictwa zawodowego</w:t>
      </w:r>
      <w:r>
        <w:t>:</w:t>
      </w:r>
    </w:p>
    <w:p w:rsidR="00A74314" w:rsidRDefault="006968FC" w:rsidP="00A74314">
      <w:pPr>
        <w:pStyle w:val="Akapitzlist"/>
        <w:numPr>
          <w:ilvl w:val="0"/>
          <w:numId w:val="1"/>
        </w:numPr>
        <w:jc w:val="both"/>
      </w:pPr>
      <w:r>
        <w:t>120 zawodów</w:t>
      </w:r>
      <w:r w:rsidR="00A74314">
        <w:t>, które (zgodnie z danymi z SIO przekazanymi przez Kuratorium Oświaty</w:t>
      </w:r>
      <w:r w:rsidR="00E86532">
        <w:t xml:space="preserve"> za rok szkolny 2017/18</w:t>
      </w:r>
      <w:r w:rsidR="00A74314">
        <w:t>) są nauczane w którejkolwiek ze szkół z terenu województwa</w:t>
      </w:r>
      <w:r w:rsidR="00FD26B0">
        <w:t xml:space="preserve"> podkarpackiego</w:t>
      </w:r>
      <w:r w:rsidR="00A74314">
        <w:t>;</w:t>
      </w:r>
    </w:p>
    <w:p w:rsidR="00A74314" w:rsidRDefault="006968FC" w:rsidP="00A74314">
      <w:pPr>
        <w:pStyle w:val="Akapitzlist"/>
        <w:numPr>
          <w:ilvl w:val="0"/>
          <w:numId w:val="1"/>
        </w:numPr>
        <w:jc w:val="both"/>
      </w:pPr>
      <w:r>
        <w:t>93 z</w:t>
      </w:r>
      <w:r w:rsidR="00A74314">
        <w:t>awody</w:t>
      </w:r>
      <w:r w:rsidR="00F44528">
        <w:t>, które (zgodnie z </w:t>
      </w:r>
      <w:r w:rsidR="00A74314">
        <w:t>danymi z SIO przekazanymi przez Kuratorium Oświaty</w:t>
      </w:r>
      <w:r w:rsidR="00E86532">
        <w:t xml:space="preserve"> za rok szkolny 2017/18</w:t>
      </w:r>
      <w:r w:rsidR="00A74314">
        <w:t>) nie są nauczane w żadne</w:t>
      </w:r>
      <w:r w:rsidR="00F44528">
        <w:t>j ze szkół z </w:t>
      </w:r>
      <w:r>
        <w:t>terenu województwa</w:t>
      </w:r>
      <w:r w:rsidR="00FD26B0">
        <w:t xml:space="preserve"> podkarpackiego</w:t>
      </w:r>
      <w:r>
        <w:t>.</w:t>
      </w:r>
    </w:p>
    <w:p w:rsidR="00A74314" w:rsidRDefault="00F44528" w:rsidP="00F44528">
      <w:pPr>
        <w:ind w:firstLine="709"/>
        <w:jc w:val="both"/>
      </w:pPr>
      <w:r>
        <w:t>O</w:t>
      </w:r>
      <w:r w:rsidR="006968FC">
        <w:t xml:space="preserve">ceniono </w:t>
      </w:r>
      <w:r>
        <w:t xml:space="preserve">je </w:t>
      </w:r>
      <w:r w:rsidR="006968FC">
        <w:t>pod kątem przydatności na regionalnym rynku pracy korzystając z poł</w:t>
      </w:r>
      <w:r>
        <w:t>ączonych danych z kilku źródeł (</w:t>
      </w:r>
      <w:r w:rsidR="00A74314">
        <w:t>na podstawie następujących danych</w:t>
      </w:r>
      <w:r>
        <w:t>)</w:t>
      </w:r>
      <w:r w:rsidR="00A74314">
        <w:t>: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5496"/>
      </w:tblGrid>
      <w:tr w:rsidR="00AE6FB4" w:rsidTr="00AE6FB4">
        <w:tc>
          <w:tcPr>
            <w:tcW w:w="675" w:type="dxa"/>
          </w:tcPr>
          <w:p w:rsidR="00AE6FB4" w:rsidRDefault="00AE6FB4" w:rsidP="008260CF">
            <w:pPr>
              <w:pStyle w:val="Akapitzlist"/>
              <w:ind w:left="0"/>
              <w:jc w:val="both"/>
            </w:pPr>
          </w:p>
        </w:tc>
        <w:tc>
          <w:tcPr>
            <w:tcW w:w="3009" w:type="dxa"/>
          </w:tcPr>
          <w:p w:rsidR="00AE6FB4" w:rsidRDefault="00AE6FB4" w:rsidP="00AE6FB4">
            <w:r>
              <w:t>Kryterium</w:t>
            </w:r>
          </w:p>
        </w:tc>
        <w:tc>
          <w:tcPr>
            <w:tcW w:w="5496" w:type="dxa"/>
          </w:tcPr>
          <w:p w:rsidR="00AE6FB4" w:rsidRDefault="00AE6FB4" w:rsidP="00A74314">
            <w:pPr>
              <w:jc w:val="both"/>
            </w:pPr>
            <w:r>
              <w:t>Sposób ujęcia kryterium w rankingu</w:t>
            </w:r>
          </w:p>
        </w:tc>
      </w:tr>
      <w:tr w:rsidR="00AE6FB4" w:rsidTr="00AE6FB4">
        <w:tc>
          <w:tcPr>
            <w:tcW w:w="675" w:type="dxa"/>
          </w:tcPr>
          <w:p w:rsidR="00AE6FB4" w:rsidRDefault="00AE6FB4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AE6FB4" w:rsidRDefault="00AE6FB4" w:rsidP="00AE6FB4">
            <w:r>
              <w:t xml:space="preserve">Nadwyżka / deficyt pracowników na rynku </w:t>
            </w:r>
          </w:p>
        </w:tc>
        <w:tc>
          <w:tcPr>
            <w:tcW w:w="5496" w:type="dxa"/>
          </w:tcPr>
          <w:p w:rsidR="00AE6FB4" w:rsidRDefault="00AE6FB4" w:rsidP="00A74314">
            <w:pPr>
              <w:jc w:val="both"/>
            </w:pPr>
            <w:r>
              <w:t>Posłużono się wynikami badania „</w:t>
            </w:r>
            <w:r w:rsidRPr="000A2350">
              <w:t>Barometr zawodów” (diagnoza realizowana w 3 ostatnich edycjach badania)</w:t>
            </w:r>
          </w:p>
          <w:p w:rsidR="00AE6FB4" w:rsidRDefault="00AE6FB4" w:rsidP="00A74314">
            <w:pPr>
              <w:jc w:val="both"/>
            </w:pPr>
            <w:r>
              <w:t>W przypadku opinii:</w:t>
            </w:r>
          </w:p>
          <w:p w:rsidR="00AE6FB4" w:rsidRDefault="00AE6FB4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o deficycie –</w:t>
            </w:r>
            <w:r w:rsidR="000A2350">
              <w:t xml:space="preserve"> przyznawano 1 punkt,</w:t>
            </w:r>
          </w:p>
          <w:p w:rsidR="00AE6FB4" w:rsidRDefault="00AE6FB4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 xml:space="preserve">o nadwyżce – przyznawano </w:t>
            </w:r>
            <w:r w:rsidR="000A2350">
              <w:t xml:space="preserve">(-1) </w:t>
            </w:r>
            <w:r>
              <w:t>punkt</w:t>
            </w:r>
            <w:r w:rsidR="000A2350">
              <w:t>,</w:t>
            </w:r>
          </w:p>
          <w:p w:rsidR="00AE6FB4" w:rsidRDefault="00AE6FB4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braku opinii lub opinii o równowadze na rynku – przyznawano 0 punktów</w:t>
            </w:r>
            <w:r w:rsidR="000A2350">
              <w:t>.</w:t>
            </w:r>
          </w:p>
          <w:p w:rsidR="00AE6FB4" w:rsidRDefault="00AE6FB4" w:rsidP="000A2350">
            <w:pPr>
              <w:jc w:val="both"/>
            </w:pPr>
            <w:r>
              <w:t xml:space="preserve">Punkty za opinie </w:t>
            </w:r>
            <w:r w:rsidR="000A2350">
              <w:t>przyznawane</w:t>
            </w:r>
            <w:r>
              <w:t xml:space="preserve"> w poszczególnych latach podlegały sumowaniu</w:t>
            </w:r>
            <w:r w:rsidR="000A2350">
              <w:t>.</w:t>
            </w:r>
          </w:p>
        </w:tc>
      </w:tr>
      <w:tr w:rsidR="00AE6FB4" w:rsidTr="00AE6FB4">
        <w:tc>
          <w:tcPr>
            <w:tcW w:w="675" w:type="dxa"/>
          </w:tcPr>
          <w:p w:rsidR="00AE6FB4" w:rsidRDefault="00AE6FB4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AE6FB4" w:rsidRDefault="00AE6FB4" w:rsidP="00AE6FB4">
            <w:r>
              <w:t>Zapotrzebowanie ze strony pracodawców</w:t>
            </w:r>
          </w:p>
        </w:tc>
        <w:tc>
          <w:tcPr>
            <w:tcW w:w="5496" w:type="dxa"/>
          </w:tcPr>
          <w:p w:rsidR="00AE6FB4" w:rsidRDefault="00AE6FB4" w:rsidP="00AE6FB4">
            <w:pPr>
              <w:jc w:val="both"/>
            </w:pPr>
            <w:r>
              <w:t>Posłużono się wynikami bada</w:t>
            </w:r>
            <w:r w:rsidR="007D29B0">
              <w:t>ń</w:t>
            </w:r>
            <w:r>
              <w:t xml:space="preserve"> pracodawców realizowan</w:t>
            </w:r>
            <w:r w:rsidR="007D29B0">
              <w:t>ych</w:t>
            </w:r>
            <w:r>
              <w:t xml:space="preserve"> przez Wojewódzki Urząd Pracy w Rzeszowie w 2016 i 2017 r. Ze względu na znaczne zróżnicowanie nazewnictwa zawodów – nie było możliwości przypisania ich bezpośrednio, stąd poszczególne zawody zaklasyfikowane jako typowe dla poszczególnych branż w</w:t>
            </w:r>
            <w:r w:rsidR="00EA4D32">
              <w:t> </w:t>
            </w:r>
            <w:r>
              <w:t>ramach PKD i posłużono się zapotrzebowaniem na pracowników zgłaszanym przez pracodawców w danej branży</w:t>
            </w:r>
            <w:r w:rsidR="00D75596">
              <w:t xml:space="preserve"> (odsetek pracodawców z branży zgłaszających zapotrzebowanie na pracowników – na podstawie średniej arytmetycznej wyniku z badań w 2016 i 2017 r.)</w:t>
            </w:r>
            <w:r>
              <w:t>.</w:t>
            </w:r>
          </w:p>
          <w:p w:rsidR="00AE6FB4" w:rsidRDefault="00AE6FB4" w:rsidP="00AE6FB4">
            <w:pPr>
              <w:jc w:val="both"/>
            </w:pPr>
            <w:r>
              <w:t xml:space="preserve">W przypadku </w:t>
            </w:r>
            <w:r w:rsidR="00D75596">
              <w:t>zapotrzebowania zgłaszanego przez:</w:t>
            </w:r>
          </w:p>
          <w:p w:rsidR="00D75596" w:rsidRDefault="00D75596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więcej niż 40% pracodawców z branży – przyznawano 9 p</w:t>
            </w:r>
            <w:r w:rsidR="00F34186">
              <w:t>un</w:t>
            </w:r>
            <w:r>
              <w:t>któw</w:t>
            </w:r>
            <w:r w:rsidR="000A2350">
              <w:t>,</w:t>
            </w:r>
          </w:p>
          <w:p w:rsidR="00D75596" w:rsidRDefault="00D75596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więcej niż 35% pracodawców z branży (do 40%) – przyznawano 7 p</w:t>
            </w:r>
            <w:r w:rsidR="00F34186">
              <w:t>un</w:t>
            </w:r>
            <w:r>
              <w:t>któw</w:t>
            </w:r>
            <w:r w:rsidR="000A2350">
              <w:t>,</w:t>
            </w:r>
          </w:p>
          <w:p w:rsidR="00D75596" w:rsidRDefault="00D75596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więcej niż 30% pracodawców z branży (do 35%) – przyznawano 5 p</w:t>
            </w:r>
            <w:r w:rsidR="00F34186">
              <w:t>un</w:t>
            </w:r>
            <w:r>
              <w:t>któw</w:t>
            </w:r>
            <w:r w:rsidR="000A2350">
              <w:t>,</w:t>
            </w:r>
          </w:p>
          <w:p w:rsidR="00D75596" w:rsidRDefault="00D75596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więcej niż 25% pracodawców z branży (do 30%) – przyznawano 3 p</w:t>
            </w:r>
            <w:r w:rsidR="00F34186">
              <w:t>un</w:t>
            </w:r>
            <w:r>
              <w:t>kty</w:t>
            </w:r>
            <w:r w:rsidR="000A2350">
              <w:t>,</w:t>
            </w:r>
          </w:p>
          <w:p w:rsidR="00D75596" w:rsidRDefault="00D75596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więcej niż 20% pracodawców z branży (do 25%) – przyznawano 1 p</w:t>
            </w:r>
            <w:r w:rsidR="00F34186">
              <w:t>un</w:t>
            </w:r>
            <w:r>
              <w:t>kt</w:t>
            </w:r>
            <w:r w:rsidR="000A2350">
              <w:t>,</w:t>
            </w:r>
          </w:p>
          <w:p w:rsidR="00AE6FB4" w:rsidRDefault="00D75596" w:rsidP="000A2350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lastRenderedPageBreak/>
              <w:t>w przypadku zapotrzebowania zgłaszanego przez mniej niż 20% przedsiębiorców z danej branży – punkty nie były przyznawane</w:t>
            </w:r>
            <w:r w:rsidR="000A2350">
              <w:t>.</w:t>
            </w:r>
          </w:p>
        </w:tc>
      </w:tr>
      <w:tr w:rsidR="00AE6FB4" w:rsidTr="00AE6FB4">
        <w:tc>
          <w:tcPr>
            <w:tcW w:w="675" w:type="dxa"/>
          </w:tcPr>
          <w:p w:rsidR="00AE6FB4" w:rsidRDefault="00AE6FB4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AE6FB4" w:rsidRDefault="00D75596" w:rsidP="00AE6FB4">
            <w:r>
              <w:t>Stosunek</w:t>
            </w:r>
            <w:r w:rsidR="00FE77D9">
              <w:t xml:space="preserve"> liczby</w:t>
            </w:r>
            <w:r>
              <w:t xml:space="preserve"> osób kształcących się do zapotrzebowania na rynku </w:t>
            </w:r>
          </w:p>
        </w:tc>
        <w:tc>
          <w:tcPr>
            <w:tcW w:w="5496" w:type="dxa"/>
          </w:tcPr>
          <w:p w:rsidR="00D75596" w:rsidRDefault="00D75596" w:rsidP="00D75596">
            <w:pPr>
              <w:jc w:val="both"/>
            </w:pPr>
            <w:r>
              <w:t xml:space="preserve">Posłużono się </w:t>
            </w:r>
            <w:r w:rsidR="00E364A9">
              <w:t xml:space="preserve">danymi GUS dot. liczby pracowników </w:t>
            </w:r>
            <w:r w:rsidR="00EA4D32">
              <w:t>w </w:t>
            </w:r>
            <w:r>
              <w:t>firmach danej branży wg PKD.</w:t>
            </w:r>
          </w:p>
          <w:p w:rsidR="00AE6FB4" w:rsidRDefault="00D75596" w:rsidP="00D75596">
            <w:pPr>
              <w:jc w:val="both"/>
            </w:pPr>
            <w:r>
              <w:t>Ze względu na znaczne zróżnicowanie nazewnictwa zawodów – nie było możliwości przypisania ich bezpośrednio, stąd poszczególne zawody zaklasyfikowane jako typowe dla posz</w:t>
            </w:r>
            <w:r w:rsidR="00EA4D32">
              <w:t>czególnych branż w ramach PKD i </w:t>
            </w:r>
            <w:r>
              <w:t xml:space="preserve">posłużono się </w:t>
            </w:r>
            <w:r w:rsidR="00E364A9">
              <w:t>liczbą osób w nich się kształcących (uwzględniono uczniów i studentów kształcących się ogółem w roku szkolnym/akademickim 2016/2017) jako potencjalnych pracowników danej sekcji</w:t>
            </w:r>
            <w:r>
              <w:t>.</w:t>
            </w:r>
          </w:p>
          <w:p w:rsidR="00D75596" w:rsidRDefault="00E364A9" w:rsidP="00D75596">
            <w:pPr>
              <w:jc w:val="both"/>
            </w:pPr>
            <w:r>
              <w:t>W przypadku stosunku: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liczby osób kształcących się w zawodach dla branży poniżej 10% liczby osób w niej pracujących – przyznawano 5 p</w:t>
            </w:r>
            <w:r w:rsidR="00F34186">
              <w:t>un</w:t>
            </w:r>
            <w:r>
              <w:t>któw</w:t>
            </w:r>
            <w:r w:rsidR="00F34186">
              <w:t>,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liczby osób kształcących się w zawodach dla branży poniżej 15% liczby osób w niej pracujących (do 10%) – przyznawano 3 p</w:t>
            </w:r>
            <w:r w:rsidR="00F34186">
              <w:t>un</w:t>
            </w:r>
            <w:r>
              <w:t>kty</w:t>
            </w:r>
            <w:r w:rsidR="00F34186">
              <w:t>,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liczby osób kształcących się w zawodach dla branży poniżej 30% liczby osób w niej pracujących (do 15%) – przyznawano 1 p</w:t>
            </w:r>
            <w:r w:rsidR="00F34186">
              <w:t>un</w:t>
            </w:r>
            <w:r>
              <w:t>kt</w:t>
            </w:r>
            <w:r w:rsidR="00F34186">
              <w:t>,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 przypadku liczby osób kształcących się w zawodach dla branży powyżej 30% liczby osób w niej pracujących –</w:t>
            </w:r>
            <w:r w:rsidR="00F34186">
              <w:t xml:space="preserve"> </w:t>
            </w:r>
            <w:r>
              <w:t>p</w:t>
            </w:r>
            <w:r w:rsidR="00F34186">
              <w:t>un</w:t>
            </w:r>
            <w:r>
              <w:t>kty nie były przyznawane</w:t>
            </w:r>
            <w:r w:rsidR="00F34186">
              <w:t>.</w:t>
            </w:r>
          </w:p>
        </w:tc>
      </w:tr>
      <w:tr w:rsidR="00AE6FB4" w:rsidTr="00AE6FB4">
        <w:tc>
          <w:tcPr>
            <w:tcW w:w="675" w:type="dxa"/>
          </w:tcPr>
          <w:p w:rsidR="00AE6FB4" w:rsidRDefault="00AE6FB4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AE6FB4" w:rsidRDefault="00E364A9" w:rsidP="00E364A9">
            <w:r>
              <w:t xml:space="preserve">Stosunek ofert pracy zgłaszanych do powiatowych urzędów pracy do liczby osób </w:t>
            </w:r>
            <w:r w:rsidR="00E86532">
              <w:t xml:space="preserve">bezrobotnych </w:t>
            </w:r>
            <w:r>
              <w:t>zarejestrowanych w danym zawodzie</w:t>
            </w:r>
          </w:p>
        </w:tc>
        <w:tc>
          <w:tcPr>
            <w:tcW w:w="5496" w:type="dxa"/>
          </w:tcPr>
          <w:p w:rsidR="00AE6FB4" w:rsidRDefault="00E364A9" w:rsidP="00E364A9">
            <w:pPr>
              <w:jc w:val="both"/>
            </w:pPr>
            <w:r>
              <w:t>Dane dostępne w ramach sprawozdawczości PUP pozwoliły na bezpośrednie przypisanie tych wartości do zawodów. W celu uwzględnienia dłuższego przedziału czasowego – zsumowano liczbę bezrobotnych i liczbę zgłoszonych ofert pracy w latach 2015, 2016 i 2017. Sprawdzono, jaki jest stosunek liczby ofert w stosunku do liczby osób bezrobotnych. W przypadku: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liczby ofert stanowiących 150% i więcej liczby osób bezrobotnych – przyznawano 3 p</w:t>
            </w:r>
            <w:r w:rsidR="00F34186">
              <w:t>un</w:t>
            </w:r>
            <w:r>
              <w:t>kty</w:t>
            </w:r>
            <w:r w:rsidR="00F34186">
              <w:t>,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liczby ofert stanowiących 100-150% liczby osób bezrobotnych – przyznawano 2 p</w:t>
            </w:r>
            <w:r w:rsidR="00F34186">
              <w:t>un</w:t>
            </w:r>
            <w:r>
              <w:t>kty</w:t>
            </w:r>
            <w:r w:rsidR="00F34186">
              <w:t>,</w:t>
            </w:r>
          </w:p>
          <w:p w:rsidR="00E364A9" w:rsidRPr="00F34186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liczby ofert stanowiących 50-100% liczby osób bezrobotnych – przyznawano 1 p</w:t>
            </w:r>
            <w:r w:rsidR="00F34186">
              <w:t>un</w:t>
            </w:r>
            <w:r>
              <w:t>kt</w:t>
            </w:r>
            <w:r w:rsidR="00F34186">
              <w:t>,</w:t>
            </w:r>
          </w:p>
          <w:p w:rsidR="00E364A9" w:rsidRDefault="00E364A9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 xml:space="preserve">liczby ofert stanowiących mniej niż 50% liczby osób bezrobotnych – </w:t>
            </w:r>
            <w:r w:rsidR="000A2350">
              <w:t xml:space="preserve">punkty nie były </w:t>
            </w:r>
            <w:r>
              <w:t>przyzna</w:t>
            </w:r>
            <w:r w:rsidR="000A2350">
              <w:t>wane</w:t>
            </w:r>
            <w:r w:rsidR="00F34186">
              <w:t>.</w:t>
            </w:r>
          </w:p>
          <w:p w:rsidR="00E364A9" w:rsidRDefault="00E364A9" w:rsidP="008658BB">
            <w:pPr>
              <w:jc w:val="both"/>
            </w:pPr>
            <w:r w:rsidRPr="00E364A9">
              <w:t>W przypadku liczby ofert (łączn</w:t>
            </w:r>
            <w:r w:rsidR="008658BB">
              <w:t>ie przez 3 lata) mniejszej niż 35</w:t>
            </w:r>
            <w:r w:rsidRPr="00E364A9">
              <w:t xml:space="preserve"> </w:t>
            </w:r>
            <w:r w:rsidR="00F07C21">
              <w:t>–</w:t>
            </w:r>
            <w:r w:rsidRPr="00E364A9">
              <w:t xml:space="preserve"> ze względu na nikł</w:t>
            </w:r>
            <w:r w:rsidR="00F07C21">
              <w:t>e zainteresowanie przyznawano 0 </w:t>
            </w:r>
            <w:r w:rsidRPr="00E364A9">
              <w:t>punktów niezależnie od stosunku ilości ofert do liczby bezrobotnych.</w:t>
            </w:r>
          </w:p>
        </w:tc>
      </w:tr>
      <w:tr w:rsidR="00AE6FB4" w:rsidTr="00AE6FB4">
        <w:tc>
          <w:tcPr>
            <w:tcW w:w="675" w:type="dxa"/>
          </w:tcPr>
          <w:p w:rsidR="00AE6FB4" w:rsidRDefault="00AE6FB4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AE6FB4" w:rsidRDefault="000A2350" w:rsidP="000A2350">
            <w:r>
              <w:t>Ilość ofert pracy publikowanych w Internecie</w:t>
            </w:r>
          </w:p>
        </w:tc>
        <w:tc>
          <w:tcPr>
            <w:tcW w:w="5496" w:type="dxa"/>
          </w:tcPr>
          <w:p w:rsidR="00AE6FB4" w:rsidRDefault="000A2350" w:rsidP="000A2350">
            <w:pPr>
              <w:jc w:val="both"/>
            </w:pPr>
            <w:r>
              <w:t>Posłużono się wynikami badania realizowane</w:t>
            </w:r>
            <w:r w:rsidR="007D29B0">
              <w:t>go</w:t>
            </w:r>
            <w:r>
              <w:t xml:space="preserve"> przez Wojewódzki Urząd Pracy w Rzeszowie, polegającego na weryfikacji zawartości portali internetowych dedykowanych pu</w:t>
            </w:r>
            <w:r w:rsidR="00EA4D32">
              <w:t>blikacji ofert pracy. Zgodnie z </w:t>
            </w:r>
            <w:r>
              <w:t>metodologią badani</w:t>
            </w:r>
            <w:r w:rsidR="00EA4D32">
              <w:t>a – weryfikacja następuje raz w </w:t>
            </w:r>
            <w:r>
              <w:t xml:space="preserve">tygodniu w dniu, w którym publikowana jest największa </w:t>
            </w:r>
            <w:r>
              <w:lastRenderedPageBreak/>
              <w:t xml:space="preserve">ilość ofert (w poniedziałki) na portalu, który został wybrany jako reprezentatywny, tj. portal </w:t>
            </w:r>
            <w:hyperlink r:id="rId19" w:history="1">
              <w:r w:rsidRPr="007C6DF9">
                <w:rPr>
                  <w:rStyle w:val="Hipercze"/>
                </w:rPr>
                <w:t>www.pracuj.pl</w:t>
              </w:r>
            </w:hyperlink>
            <w:r>
              <w:t>. Ze względu na znaczne zróżnicowanie nazewnictwa zawodów – nie było możliwości przypisania ich bezpośrednio, stąd poszczególne zawody zaklasyfikowane jako typowe dla posz</w:t>
            </w:r>
            <w:r w:rsidR="00EA4D32">
              <w:t>czególnych branż w ramach PKD i </w:t>
            </w:r>
            <w:r>
              <w:t>posłużono się odsetkiem (w ogólnej liczbie) ofert zamieszczanych pr</w:t>
            </w:r>
            <w:r w:rsidR="00EA4D32">
              <w:t>zez pracodawców z tej branży. W </w:t>
            </w:r>
            <w:r>
              <w:t>przypadku</w:t>
            </w:r>
            <w:r w:rsidR="007D29B0">
              <w:t xml:space="preserve"> zawodów typowych dla</w:t>
            </w:r>
            <w:r>
              <w:t>:</w:t>
            </w:r>
          </w:p>
          <w:p w:rsidR="000A2350" w:rsidRDefault="000A2350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branż, z których oferty stanowiły więcej niż 20% wszystkich – przyznawano 3 p</w:t>
            </w:r>
            <w:r w:rsidR="00F34186">
              <w:t>un</w:t>
            </w:r>
            <w:r>
              <w:t>kty</w:t>
            </w:r>
            <w:r w:rsidR="00F34186">
              <w:t>,</w:t>
            </w:r>
          </w:p>
          <w:p w:rsidR="000A2350" w:rsidRDefault="000A2350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branż, z których oferty stanowiły więcej niż 10% wszystkich (do 20%) – przyznawano 2 p</w:t>
            </w:r>
            <w:r w:rsidR="00F34186">
              <w:t>un</w:t>
            </w:r>
            <w:r>
              <w:t>kty</w:t>
            </w:r>
            <w:r w:rsidR="00F34186">
              <w:t>,</w:t>
            </w:r>
          </w:p>
          <w:p w:rsidR="000A2350" w:rsidRDefault="000A2350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branż, z których oferty stanowiły więcej niż 5% wszystkich (do 10%) – przyznawano 1 p</w:t>
            </w:r>
            <w:r w:rsidR="00F34186">
              <w:t>un</w:t>
            </w:r>
            <w:r>
              <w:t>kt</w:t>
            </w:r>
            <w:r w:rsidR="00F34186">
              <w:t>,</w:t>
            </w:r>
          </w:p>
          <w:p w:rsidR="000A2350" w:rsidRDefault="000A2350" w:rsidP="00F34186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branż, z których oferty stanowiły mniej niż 5% wszystkich – punkty nie były przyznawane</w:t>
            </w:r>
            <w:r w:rsidR="00F34186">
              <w:t>.</w:t>
            </w:r>
          </w:p>
        </w:tc>
      </w:tr>
      <w:tr w:rsidR="00C64629" w:rsidTr="00AE6FB4">
        <w:tc>
          <w:tcPr>
            <w:tcW w:w="675" w:type="dxa"/>
          </w:tcPr>
          <w:p w:rsidR="00C64629" w:rsidRDefault="00C64629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C64629" w:rsidRDefault="00C64629" w:rsidP="000A2350">
            <w:r>
              <w:t>Zgodność z dokumentami strategicznymi</w:t>
            </w:r>
          </w:p>
        </w:tc>
        <w:tc>
          <w:tcPr>
            <w:tcW w:w="5496" w:type="dxa"/>
          </w:tcPr>
          <w:p w:rsidR="00C64629" w:rsidRDefault="00C64629" w:rsidP="00C64629">
            <w:pPr>
              <w:jc w:val="both"/>
            </w:pPr>
            <w:r>
              <w:t>Zweryfikowano zgodność zawodu z założeniami aktualnie obowiązujących dokumentów strategicznych, zgodnych tematycznie z prowadzoną analizą: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Strategia Rozwoju Województwa – Podkarpackie 2020;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Regionalna Strategia Innowacji Województwa Podkarpackiego na lata 2014-2020 na rzecz inteligentnej specjalizacji (RIS3);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Program Strategiczny Rozwoju Transportu Województwa Podkarpackiego do roku 2023;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Program Ochrony Środowiska Województwa Podkarpackiego na lata 2017-2019 z perspektywą do 2023 r.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Wojewódzki Program Rozwoju Odnawialnych Źródeł Energii dla Województwa Podkarpackiego [obowiązujący do 2020 r.].</w:t>
            </w:r>
          </w:p>
          <w:p w:rsidR="00C64629" w:rsidRDefault="00C64629" w:rsidP="00C64629">
            <w:pPr>
              <w:jc w:val="both"/>
            </w:pPr>
            <w:r>
              <w:t>Za zgodność zawodu z kierunkami strategicznymi zawartymi w poszczególnych ww. dokumentach było każdorazowo przyznawane 2 punkty.</w:t>
            </w:r>
          </w:p>
        </w:tc>
      </w:tr>
      <w:tr w:rsidR="00C64629" w:rsidTr="00AE6FB4">
        <w:tc>
          <w:tcPr>
            <w:tcW w:w="675" w:type="dxa"/>
          </w:tcPr>
          <w:p w:rsidR="00C64629" w:rsidRDefault="00C64629" w:rsidP="008260CF">
            <w:pPr>
              <w:pStyle w:val="Akapitzlist"/>
              <w:numPr>
                <w:ilvl w:val="0"/>
                <w:numId w:val="2"/>
              </w:numPr>
              <w:ind w:left="0" w:firstLine="0"/>
              <w:jc w:val="both"/>
            </w:pPr>
          </w:p>
        </w:tc>
        <w:tc>
          <w:tcPr>
            <w:tcW w:w="3009" w:type="dxa"/>
          </w:tcPr>
          <w:p w:rsidR="00C64629" w:rsidRDefault="00C64629" w:rsidP="000A2350">
            <w:r>
              <w:t>Preferowani</w:t>
            </w:r>
            <w:r w:rsidR="00E86532">
              <w:t>e zawodów dedykowanych osobom z </w:t>
            </w:r>
            <w:r>
              <w:t>niepełnosprawnościami</w:t>
            </w:r>
          </w:p>
        </w:tc>
        <w:tc>
          <w:tcPr>
            <w:tcW w:w="5496" w:type="dxa"/>
          </w:tcPr>
          <w:p w:rsidR="00C64629" w:rsidRDefault="00C64629" w:rsidP="00C64629">
            <w:pPr>
              <w:jc w:val="both"/>
            </w:pPr>
            <w:r>
              <w:t>Klasyfikacja zawodów szkolnictwa zawodowego uwzględnia 5 zawodów dedykowanych osobom z</w:t>
            </w:r>
            <w:r w:rsidR="000A0EB7">
              <w:t> </w:t>
            </w:r>
            <w:r>
              <w:t>niepełnosprawnościami: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Pracownik pomocniczy mechanika;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Pracownik pomocniczy ślusarza;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Pracownik pomocniczy krawca;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Pracownik pomocniczy stolarza;</w:t>
            </w:r>
          </w:p>
          <w:p w:rsidR="00C64629" w:rsidRDefault="00C64629" w:rsidP="00C64629">
            <w:pPr>
              <w:pStyle w:val="Akapitzlist"/>
              <w:numPr>
                <w:ilvl w:val="0"/>
                <w:numId w:val="4"/>
              </w:numPr>
              <w:jc w:val="both"/>
            </w:pPr>
            <w:r>
              <w:t>Pracownik pomocniczy obsługi hotelowej.</w:t>
            </w:r>
          </w:p>
          <w:p w:rsidR="00C64629" w:rsidRDefault="00C64629" w:rsidP="00C64629">
            <w:pPr>
              <w:jc w:val="both"/>
            </w:pPr>
            <w:r>
              <w:t>Ww. zawodom ze względu na wy</w:t>
            </w:r>
            <w:r w:rsidR="000A0EB7">
              <w:t>zwanie związane z aktywizowaniem zawodowym osób z </w:t>
            </w:r>
            <w:r>
              <w:t>niepełnosprawnościami (zgodnie z polityką równościową) przyznano 2 punkty.</w:t>
            </w:r>
          </w:p>
        </w:tc>
      </w:tr>
    </w:tbl>
    <w:p w:rsidR="00A74314" w:rsidRDefault="00A74314" w:rsidP="00E86532">
      <w:pPr>
        <w:ind w:firstLine="709"/>
        <w:jc w:val="both"/>
      </w:pPr>
    </w:p>
    <w:p w:rsidR="00E86532" w:rsidRDefault="00E86532" w:rsidP="00E86532">
      <w:pPr>
        <w:ind w:firstLine="709"/>
        <w:jc w:val="both"/>
      </w:pPr>
      <w:r>
        <w:t xml:space="preserve">Punkty przyznane na podstawie ww. kryteriów były sumowane. Metodologia pozwalała na przypisanie dla danego zawodu maksymalnie 35 punktów. Największa liczba faktycznie przyznana </w:t>
      </w:r>
      <w:r>
        <w:lastRenderedPageBreak/>
        <w:t>zawodom występującym w klasyfikacji zawodów szkolnych wynosi 21, najmniejsza – 0. Za najbardziej zasadne (zgodne z potrzebami) uznano wspieranie o</w:t>
      </w:r>
      <w:r w:rsidR="00DD7BA7">
        <w:t>k. 20% zawodów, które zgodnie z </w:t>
      </w:r>
      <w:r>
        <w:t>ww. metodologią uzyskały największą liczbę punktów (nie mniej niż 16 punktów).</w:t>
      </w:r>
    </w:p>
    <w:p w:rsidR="00E86532" w:rsidRDefault="00E86532" w:rsidP="00E86532">
      <w:pPr>
        <w:ind w:firstLine="709"/>
        <w:jc w:val="both"/>
      </w:pPr>
      <w:r>
        <w:t>Integralną częścią niniejszego opracowania jest zestawienie w formacie MS Excel zawierające dane użyte do analizy w odniesieniu do wszystkich zawodów s</w:t>
      </w:r>
      <w:r w:rsidR="00DD7BA7">
        <w:t>zkolnictwa zawodowego ujętych w </w:t>
      </w:r>
      <w:r>
        <w:t>klasyfikacji.</w:t>
      </w:r>
    </w:p>
    <w:p w:rsidR="00E86532" w:rsidRDefault="00E86532" w:rsidP="00A74314">
      <w:pPr>
        <w:jc w:val="both"/>
      </w:pPr>
    </w:p>
    <w:p w:rsidR="00842EC1" w:rsidRPr="00DA0B44" w:rsidRDefault="00842EC1" w:rsidP="00842EC1">
      <w:pPr>
        <w:pStyle w:val="Akapitzlist"/>
        <w:numPr>
          <w:ilvl w:val="1"/>
          <w:numId w:val="7"/>
        </w:numPr>
        <w:jc w:val="both"/>
        <w:outlineLvl w:val="1"/>
        <w:rPr>
          <w:b/>
        </w:rPr>
      </w:pPr>
      <w:bookmarkStart w:id="12" w:name="_Toc530033292"/>
      <w:r w:rsidRPr="00DA0B44">
        <w:rPr>
          <w:b/>
        </w:rPr>
        <w:t>Ranking zawodów</w:t>
      </w:r>
      <w:bookmarkEnd w:id="12"/>
    </w:p>
    <w:p w:rsidR="000A0EB7" w:rsidRDefault="000A0EB7" w:rsidP="000A0EB7">
      <w:pPr>
        <w:ind w:firstLine="709"/>
        <w:jc w:val="both"/>
      </w:pPr>
      <w:r>
        <w:t>Na podstawie ww. kryteriów ułożono ranking zawodów wg ich zgodności z wyzwaniami regionalnego rynku pracy</w:t>
      </w:r>
      <w:r w:rsidR="00EA4D32">
        <w:t>:</w:t>
      </w:r>
    </w:p>
    <w:tbl>
      <w:tblPr>
        <w:tblW w:w="9147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404"/>
        <w:gridCol w:w="3287"/>
        <w:gridCol w:w="992"/>
        <w:gridCol w:w="2232"/>
        <w:gridCol w:w="2232"/>
      </w:tblGrid>
      <w:tr w:rsidR="0054371A" w:rsidRPr="00EA4D32" w:rsidTr="004D348B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spacing w:after="0" w:line="240" w:lineRule="auto"/>
              <w:ind w:left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371A" w:rsidRPr="00EA4D32" w:rsidRDefault="00FC330D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</w:t>
            </w:r>
            <w:r w:rsidR="0054371A">
              <w:rPr>
                <w:rFonts w:ascii="Calibri" w:eastAsia="Times New Roman" w:hAnsi="Calibri" w:cs="Times New Roman"/>
                <w:color w:val="000000"/>
                <w:lang w:eastAsia="pl-PL"/>
              </w:rPr>
              <w:t>awód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71A" w:rsidRPr="00EA4D32" w:rsidRDefault="00FC330D" w:rsidP="00FC33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K</w:t>
            </w:r>
            <w:r w:rsidR="0054371A">
              <w:rPr>
                <w:rFonts w:ascii="Calibri" w:eastAsia="Times New Roman" w:hAnsi="Calibri" w:cs="Times New Roman"/>
                <w:lang w:eastAsia="pl-PL"/>
              </w:rPr>
              <w:t>od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zawodu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54371A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Liczba szkół prowadzących kształcenie</w:t>
            </w:r>
            <w:r w:rsidR="00171512">
              <w:rPr>
                <w:rFonts w:ascii="Calibri" w:eastAsia="Times New Roman" w:hAnsi="Calibri" w:cs="Times New Roman"/>
                <w:lang w:eastAsia="pl-PL"/>
              </w:rPr>
              <w:t xml:space="preserve"> w zawodzie (w roku szk. 2017/18)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54371A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Liczba uczniów (ogółem w roku szk. 2017/18)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Elektromechanik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0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741201</w:t>
              </w:r>
            </w:hyperlink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77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automatyk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1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311909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Mechanik-monter maszyn i urządzeń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2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723310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Elektryk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3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741103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180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Operator obrabiarek skrawających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4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722307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171512" w:rsidP="004D348B">
            <w:pPr>
              <w:spacing w:after="0" w:line="240" w:lineRule="auto"/>
              <w:jc w:val="center"/>
            </w:pPr>
            <w:r>
              <w:t>654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odlewnik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5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311705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Mechanik-operator pojazdów i maszyn rolniczych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6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834103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278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Pracownik pomocniczy mechanika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7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932916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Pracownik pomocniczy ślusarza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8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932917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658BB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Pr="00EA4D32" w:rsidRDefault="008658BB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8BB" w:rsidRPr="00EA4D32" w:rsidRDefault="008658BB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Technik teleinformatyk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 w:rsidRPr="008658BB">
              <w:t>351103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554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Operator urządzeń przemysłu chemicznego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29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813134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Operator maszyn i urządzeń odlewniczych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0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812107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Kierowca mechanik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1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832201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71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Elektronik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2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742117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7</w:t>
            </w:r>
            <w:r>
              <w:rPr>
                <w:rStyle w:val="Odwoanieprzypisudolnego"/>
              </w:rPr>
              <w:footnoteReference w:id="6"/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Mechanik automatyki przemysłowej i urządzeń precyzyjnych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3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731102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Mechatronik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4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742118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mechatronik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5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311410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1 726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Modelarz odlewniczy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6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721104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Operator maszyn i urządzeń hutniczych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7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812121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Ślusarz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8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722204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358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elektronik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39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311408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1 089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hutnik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0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311704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658BB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Pr="00EA4D32" w:rsidRDefault="008658BB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8BB" w:rsidRPr="00EA4D32" w:rsidRDefault="008658BB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Technik informatyk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 w:rsidRPr="008658BB">
              <w:t>351203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44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4 974</w:t>
            </w:r>
          </w:p>
        </w:tc>
      </w:tr>
      <w:tr w:rsidR="0054371A" w:rsidRPr="00EA4D32" w:rsidTr="004D348B">
        <w:trPr>
          <w:trHeight w:val="285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Operator maszyn i urządzeń do przetwórstwa tworzyw sztucznych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1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814209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Operator urządzeń przemysłu szklarskiego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2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818116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Drukarz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3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732201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Mechanik operator maszyn do produkcji drzewnej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4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817212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Piekarz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5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751204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39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Wędliniarz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6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751107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mechanik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7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311504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2 342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mechanik lotniczy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8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315317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228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Mechanik precyzyjny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49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731103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urządzeń i systemów energetyki odnawialnej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0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311930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483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Pracownik pomocniczy krawca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1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932915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Cieśla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2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711501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Murarz-tynkarz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3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711204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164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Stolarz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4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752205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183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technologii drewna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5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311922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72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Optyk-mechanik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6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731104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54371A" w:rsidRPr="00EA4D32" w:rsidTr="004D348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Technik elektryk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7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311303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836</w:t>
            </w:r>
          </w:p>
        </w:tc>
      </w:tr>
      <w:tr w:rsidR="0054371A" w:rsidRPr="00EA4D32" w:rsidTr="008658BB">
        <w:trPr>
          <w:trHeight w:val="300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Pracownik pomocniczy stolarza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8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932918</w:t>
              </w:r>
            </w:hyperlink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4371A" w:rsidRPr="00EA4D32" w:rsidTr="008658BB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Pr="00EA4D32" w:rsidRDefault="0054371A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371A" w:rsidRPr="00EA4D32" w:rsidRDefault="0054371A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A4D32">
              <w:rPr>
                <w:rFonts w:ascii="Calibri" w:eastAsia="Times New Roman" w:hAnsi="Calibri" w:cs="Times New Roman"/>
                <w:color w:val="000000"/>
                <w:lang w:eastAsia="pl-PL"/>
              </w:rPr>
              <w:t>Pracownik pomocniczy obsługi hotelowej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371A" w:rsidRPr="00EA4D32" w:rsidRDefault="00D44B25" w:rsidP="004D34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hyperlink r:id="rId59" w:history="1">
              <w:r w:rsidR="0054371A" w:rsidRPr="00EA4D32">
                <w:rPr>
                  <w:rFonts w:ascii="Calibri" w:eastAsia="Times New Roman" w:hAnsi="Calibri" w:cs="Times New Roman"/>
                  <w:lang w:eastAsia="pl-PL"/>
                </w:rPr>
                <w:t>911205</w:t>
              </w:r>
            </w:hyperlink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71A" w:rsidRDefault="004D348B" w:rsidP="004D348B">
            <w:pPr>
              <w:spacing w:after="0" w:line="240" w:lineRule="auto"/>
              <w:jc w:val="center"/>
            </w:pPr>
            <w:r>
              <w:t>52</w:t>
            </w:r>
          </w:p>
        </w:tc>
      </w:tr>
      <w:tr w:rsidR="008658BB" w:rsidRPr="00EA4D32" w:rsidTr="008658BB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Pr="00EA4D32" w:rsidRDefault="008658BB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8BB" w:rsidRPr="00EA4D32" w:rsidRDefault="008658BB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Technik logistyk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333107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1 843</w:t>
            </w:r>
          </w:p>
        </w:tc>
      </w:tr>
      <w:tr w:rsidR="008658BB" w:rsidRPr="00EA4D32" w:rsidTr="008658BB">
        <w:trPr>
          <w:trHeight w:val="300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Pr="00EA4D32" w:rsidRDefault="008658BB" w:rsidP="004D348B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58BB" w:rsidRDefault="008658BB" w:rsidP="004D34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Technik spedytor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333108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58BB" w:rsidRDefault="008658BB" w:rsidP="004D348B">
            <w:pPr>
              <w:spacing w:after="0" w:line="240" w:lineRule="auto"/>
              <w:jc w:val="center"/>
            </w:pPr>
            <w:r>
              <w:t>345</w:t>
            </w:r>
            <w:bookmarkStart w:id="13" w:name="_GoBack"/>
            <w:bookmarkEnd w:id="13"/>
          </w:p>
        </w:tc>
      </w:tr>
    </w:tbl>
    <w:p w:rsidR="00EA4D32" w:rsidRDefault="00EA4D32" w:rsidP="00EA4D32">
      <w:pPr>
        <w:jc w:val="both"/>
      </w:pPr>
    </w:p>
    <w:sectPr w:rsidR="00EA4D32" w:rsidSect="006D4A20">
      <w:footerReference w:type="default" r:id="rId6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04" w:rsidRDefault="009C6704" w:rsidP="00C64629">
      <w:pPr>
        <w:spacing w:after="0" w:line="240" w:lineRule="auto"/>
      </w:pPr>
      <w:r>
        <w:separator/>
      </w:r>
    </w:p>
  </w:endnote>
  <w:endnote w:type="continuationSeparator" w:id="0">
    <w:p w:rsidR="009C6704" w:rsidRDefault="009C6704" w:rsidP="00C64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895775"/>
      <w:docPartObj>
        <w:docPartGallery w:val="Page Numbers (Bottom of Page)"/>
        <w:docPartUnique/>
      </w:docPartObj>
    </w:sdtPr>
    <w:sdtContent>
      <w:p w:rsidR="00523952" w:rsidRDefault="00523952">
        <w:pPr>
          <w:pStyle w:val="Stopka"/>
          <w:jc w:val="right"/>
        </w:pPr>
        <w:fldSimple w:instr="PAGE   \* MERGEFORMAT">
          <w:r w:rsidR="00C674BB">
            <w:rPr>
              <w:noProof/>
            </w:rPr>
            <w:t>2</w:t>
          </w:r>
        </w:fldSimple>
      </w:p>
    </w:sdtContent>
  </w:sdt>
  <w:p w:rsidR="00523952" w:rsidRDefault="0052395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04" w:rsidRDefault="009C6704" w:rsidP="00C64629">
      <w:pPr>
        <w:spacing w:after="0" w:line="240" w:lineRule="auto"/>
      </w:pPr>
      <w:r>
        <w:separator/>
      </w:r>
    </w:p>
  </w:footnote>
  <w:footnote w:type="continuationSeparator" w:id="0">
    <w:p w:rsidR="009C6704" w:rsidRDefault="009C6704" w:rsidP="00C64629">
      <w:pPr>
        <w:spacing w:after="0" w:line="240" w:lineRule="auto"/>
      </w:pPr>
      <w:r>
        <w:continuationSeparator/>
      </w:r>
    </w:p>
  </w:footnote>
  <w:footnote w:id="1">
    <w:p w:rsidR="00523952" w:rsidRDefault="00523952" w:rsidP="00A81213">
      <w:pPr>
        <w:pStyle w:val="Tekstprzypisudolnego"/>
        <w:jc w:val="both"/>
        <w:rPr>
          <w:sz w:val="18"/>
        </w:rPr>
      </w:pPr>
      <w:r w:rsidRPr="00A81213">
        <w:rPr>
          <w:rStyle w:val="Odwoanieprzypisudolnego"/>
          <w:sz w:val="18"/>
        </w:rPr>
        <w:footnoteRef/>
      </w:r>
      <w:r w:rsidRPr="00A81213">
        <w:rPr>
          <w:sz w:val="18"/>
        </w:rPr>
        <w:t xml:space="preserve"> Pełne wyniki dostępne na stronie internetowej Wojewódzkiego Urzędu Pracy w Rzeszowie:</w:t>
      </w:r>
    </w:p>
    <w:p w:rsidR="00523952" w:rsidRPr="00A81213" w:rsidRDefault="00523952" w:rsidP="00A81213">
      <w:pPr>
        <w:pStyle w:val="Tekstprzypisudolnego"/>
        <w:jc w:val="both"/>
        <w:rPr>
          <w:sz w:val="18"/>
        </w:rPr>
      </w:pPr>
      <w:hyperlink r:id="rId1" w:history="1">
        <w:r w:rsidRPr="00A81213">
          <w:rPr>
            <w:rStyle w:val="Hipercze"/>
            <w:sz w:val="18"/>
          </w:rPr>
          <w:t>http://wuprzeszow.praca.gov.pl/-/5959871-badanie-zapotrzebowanie-na-zawody-oraz-kwalifikacje-i-kompetencje-na-lokalnych-rynkach-pracy-w-wojewodztwie-podkarpackim-</w:t>
        </w:r>
      </w:hyperlink>
      <w:r w:rsidRPr="00A81213">
        <w:rPr>
          <w:sz w:val="18"/>
        </w:rPr>
        <w:t>.</w:t>
      </w:r>
    </w:p>
  </w:footnote>
  <w:footnote w:id="2">
    <w:p w:rsidR="00523952" w:rsidRPr="00A81213" w:rsidRDefault="00523952" w:rsidP="00A81213">
      <w:pPr>
        <w:pStyle w:val="Tekstprzypisudolnego"/>
        <w:jc w:val="both"/>
        <w:rPr>
          <w:sz w:val="18"/>
        </w:rPr>
      </w:pPr>
      <w:r w:rsidRPr="00A81213">
        <w:rPr>
          <w:rStyle w:val="Odwoanieprzypisudolnego"/>
          <w:sz w:val="18"/>
        </w:rPr>
        <w:footnoteRef/>
      </w:r>
      <w:r w:rsidRPr="00A81213">
        <w:rPr>
          <w:sz w:val="18"/>
        </w:rPr>
        <w:t xml:space="preserve"> Na podstawie wyników badania „Potencjał kadrowy podkarpackiego rynku pracy”, Wojewódzki Urząd Pracy w Rzeszowie 2017, dostęp w Internecie: </w:t>
      </w:r>
      <w:hyperlink r:id="rId2" w:history="1">
        <w:r w:rsidRPr="00A81213">
          <w:rPr>
            <w:rStyle w:val="Hipercze"/>
            <w:sz w:val="18"/>
          </w:rPr>
          <w:t>http://wuprzeszow.praca.gov.pl/-/5960412-badanie-potencjal-kadrowy-podkarpackiego-rynku-pracy-</w:t>
        </w:r>
      </w:hyperlink>
      <w:r w:rsidRPr="00A81213">
        <w:rPr>
          <w:sz w:val="18"/>
        </w:rPr>
        <w:t>.</w:t>
      </w:r>
    </w:p>
  </w:footnote>
  <w:footnote w:id="3">
    <w:p w:rsidR="00523952" w:rsidRDefault="00523952" w:rsidP="00A81213">
      <w:pPr>
        <w:pStyle w:val="Tekstprzypisudolnego"/>
        <w:jc w:val="both"/>
      </w:pPr>
      <w:r w:rsidRPr="00A81213">
        <w:rPr>
          <w:rStyle w:val="Odwoanieprzypisudolnego"/>
          <w:sz w:val="18"/>
        </w:rPr>
        <w:footnoteRef/>
      </w:r>
      <w:r w:rsidRPr="00A81213">
        <w:rPr>
          <w:sz w:val="18"/>
        </w:rPr>
        <w:t xml:space="preserve"> Dane za 2016 r. na podstawie badania „Zapotrzebowanie na zawody oraz kwalifikacje i kompetencje na Podkarpaciu” (realizowanego w 2016 r. na próbie 3 670 pracodawców, reprezentatywnej dla województwa), Wojewódzki Urząd Pracy w</w:t>
      </w:r>
      <w:r>
        <w:rPr>
          <w:sz w:val="18"/>
        </w:rPr>
        <w:t> </w:t>
      </w:r>
      <w:r w:rsidRPr="00A81213">
        <w:rPr>
          <w:sz w:val="18"/>
        </w:rPr>
        <w:t xml:space="preserve">Rzeszowie 2016, dostęp w Internecie: </w:t>
      </w:r>
      <w:hyperlink r:id="rId3" w:history="1">
        <w:r w:rsidRPr="00A81213">
          <w:rPr>
            <w:rStyle w:val="Hipercze"/>
            <w:sz w:val="18"/>
          </w:rPr>
          <w:t>http://wuprzeszow.praca.gov.pl/-/3934843-zapotrzebowanie-na-zawody-oraz-kwalifikacje-i-kompetencje-na-podkarpaciu-%E2%80%93-listopad-2016-r-</w:t>
        </w:r>
      </w:hyperlink>
      <w:r>
        <w:t>.</w:t>
      </w:r>
    </w:p>
  </w:footnote>
  <w:footnote w:id="4">
    <w:p w:rsidR="00523952" w:rsidRPr="00B357B2" w:rsidRDefault="00523952" w:rsidP="00B357B2">
      <w:pPr>
        <w:pStyle w:val="Tekstprzypisudolnego"/>
        <w:jc w:val="both"/>
        <w:rPr>
          <w:sz w:val="18"/>
          <w:szCs w:val="18"/>
        </w:rPr>
      </w:pPr>
      <w:r w:rsidRPr="00B357B2">
        <w:rPr>
          <w:rStyle w:val="Odwoanieprzypisudolnego"/>
          <w:sz w:val="18"/>
        </w:rPr>
        <w:footnoteRef/>
      </w:r>
      <w:r w:rsidRPr="00B357B2">
        <w:rPr>
          <w:sz w:val="18"/>
        </w:rPr>
        <w:t xml:space="preserve"> Choć takie dobre praktyki </w:t>
      </w:r>
      <w:r>
        <w:rPr>
          <w:sz w:val="18"/>
        </w:rPr>
        <w:t>mają miejsce</w:t>
      </w:r>
      <w:r w:rsidRPr="00B357B2">
        <w:rPr>
          <w:sz w:val="18"/>
        </w:rPr>
        <w:t xml:space="preserve"> i są coraz częstsze – o czym świadczą wyniki konkursu Biznes Klasa organizowanego od 3 lat przez Wojewódzki Urząd Pracy w Rzeszowie, w ramach którego wyłaniane i promowane są te środowiska, gdzie dochodzi do efektywnej współprac</w:t>
      </w:r>
      <w:r>
        <w:rPr>
          <w:sz w:val="18"/>
        </w:rPr>
        <w:t xml:space="preserve">y pomiędzy przedsiębiorstwami a </w:t>
      </w:r>
      <w:r w:rsidRPr="00B357B2">
        <w:rPr>
          <w:sz w:val="18"/>
        </w:rPr>
        <w:t>szkołami o profilu zawodowym</w:t>
      </w:r>
      <w:r>
        <w:rPr>
          <w:sz w:val="18"/>
        </w:rPr>
        <w:t>,</w:t>
      </w:r>
      <w:r w:rsidRPr="00B357B2">
        <w:rPr>
          <w:sz w:val="18"/>
        </w:rPr>
        <w:t xml:space="preserve"> ukierunkowanej na podnoszenie kwalifikacji przyszłych absolwentów w celu ich lepszego dostosowania do oczekiwań pracodawców i wyzwań rynku pracy. Informacje o wynikach kolejnych edycji Konkursu dostępne na stronie internetowej Wojewódzkiego Urzędu Pracy w Rzeszowie – edycja 2016: </w:t>
      </w:r>
      <w:hyperlink r:id="rId4" w:history="1">
        <w:r w:rsidRPr="00B357B2">
          <w:rPr>
            <w:rStyle w:val="Hipercze"/>
            <w:sz w:val="18"/>
            <w:szCs w:val="18"/>
          </w:rPr>
          <w:t>http://wuprzeszow.praca.gov.pl/-/3900111-konkurs-biznes-klasa-edycja-2016-rozstrzygniety-</w:t>
        </w:r>
      </w:hyperlink>
      <w:r w:rsidRPr="00B357B2">
        <w:rPr>
          <w:sz w:val="18"/>
          <w:szCs w:val="18"/>
        </w:rPr>
        <w:t>, edycja 2017:</w:t>
      </w:r>
      <w:r>
        <w:rPr>
          <w:sz w:val="18"/>
          <w:szCs w:val="18"/>
        </w:rPr>
        <w:t xml:space="preserve"> </w:t>
      </w:r>
      <w:hyperlink r:id="rId5" w:history="1">
        <w:r w:rsidRPr="000B1BC9">
          <w:rPr>
            <w:rStyle w:val="Hipercze"/>
            <w:sz w:val="18"/>
            <w:szCs w:val="18"/>
          </w:rPr>
          <w:t>http://wuprzeszow.praca.gov.pl/-/5959370-konkurs-biznes-klasa-2017-rozstrzygniety</w:t>
        </w:r>
      </w:hyperlink>
      <w:r w:rsidRPr="00B357B2">
        <w:rPr>
          <w:sz w:val="18"/>
          <w:szCs w:val="18"/>
        </w:rPr>
        <w:t xml:space="preserve">, edycja 2018: </w:t>
      </w:r>
      <w:hyperlink r:id="rId6" w:history="1">
        <w:r w:rsidRPr="00B357B2">
          <w:rPr>
            <w:rStyle w:val="Hipercze"/>
            <w:sz w:val="18"/>
            <w:szCs w:val="18"/>
          </w:rPr>
          <w:t>http://wuprzeszow.praca.gov.pl/-/7991355-konkurs-biznes-klasa-2018-rozstrzygniety</w:t>
        </w:r>
      </w:hyperlink>
      <w:r w:rsidRPr="00B357B2">
        <w:rPr>
          <w:sz w:val="18"/>
          <w:szCs w:val="18"/>
        </w:rPr>
        <w:t>.</w:t>
      </w:r>
    </w:p>
  </w:footnote>
  <w:footnote w:id="5">
    <w:p w:rsidR="00523952" w:rsidRPr="00F07C21" w:rsidRDefault="00523952" w:rsidP="00F07C21">
      <w:pPr>
        <w:pStyle w:val="Tekstprzypisudolnego"/>
        <w:jc w:val="both"/>
        <w:rPr>
          <w:sz w:val="18"/>
        </w:rPr>
      </w:pPr>
      <w:r w:rsidRPr="00F07C21">
        <w:rPr>
          <w:rStyle w:val="Odwoanieprzypisudolnego"/>
          <w:sz w:val="18"/>
        </w:rPr>
        <w:footnoteRef/>
      </w:r>
      <w:r w:rsidRPr="00F07C21">
        <w:rPr>
          <w:sz w:val="18"/>
        </w:rPr>
        <w:t xml:space="preserve"> Na podstawie badania „Zapotrzebowanie na zawody oraz kwalifikacje i kompetencje na Podkarpaciu” (realizowanego w</w:t>
      </w:r>
      <w:r>
        <w:rPr>
          <w:sz w:val="18"/>
        </w:rPr>
        <w:t> </w:t>
      </w:r>
      <w:r w:rsidRPr="00F07C21">
        <w:rPr>
          <w:sz w:val="18"/>
        </w:rPr>
        <w:t xml:space="preserve">2016 r. na próbie 3 670 pracodawców, reprezentatywnej dla województwa), Wojewódzki </w:t>
      </w:r>
      <w:r>
        <w:t xml:space="preserve">Urząd Pracy w Rzeszowie </w:t>
      </w:r>
      <w:r w:rsidRPr="00F07C21">
        <w:rPr>
          <w:sz w:val="18"/>
        </w:rPr>
        <w:t xml:space="preserve">2016, dostęp w Internecie: </w:t>
      </w:r>
      <w:hyperlink r:id="rId7" w:history="1">
        <w:r w:rsidRPr="00F07C21">
          <w:rPr>
            <w:rStyle w:val="Hipercze"/>
            <w:sz w:val="18"/>
          </w:rPr>
          <w:t>http://wuprzeszow.praca.gov.pl/-/3934843-zapotrzebowanie-na-zawody-oraz-kwalifikacje-i-kompetencje-na-podkarpaciu-%E2%80%93-listopad-2016-r-</w:t>
        </w:r>
      </w:hyperlink>
      <w:r w:rsidRPr="00F07C21">
        <w:rPr>
          <w:sz w:val="18"/>
        </w:rPr>
        <w:t>.</w:t>
      </w:r>
    </w:p>
  </w:footnote>
  <w:footnote w:id="6">
    <w:p w:rsidR="00523952" w:rsidRPr="00F07C21" w:rsidRDefault="00523952" w:rsidP="00F07C21">
      <w:pPr>
        <w:pStyle w:val="Tekstprzypisudolnego"/>
        <w:jc w:val="both"/>
        <w:rPr>
          <w:sz w:val="18"/>
        </w:rPr>
      </w:pPr>
      <w:r w:rsidRPr="00F07C21">
        <w:rPr>
          <w:rStyle w:val="Odwoanieprzypisudolnego"/>
          <w:sz w:val="18"/>
        </w:rPr>
        <w:footnoteRef/>
      </w:r>
      <w:r w:rsidRPr="00F07C21">
        <w:rPr>
          <w:sz w:val="18"/>
        </w:rPr>
        <w:t xml:space="preserve"> Z uwzględnieniem uczniów kształcących się w zawodzie monter – elektronik.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2EE6"/>
    <w:multiLevelType w:val="hybridMultilevel"/>
    <w:tmpl w:val="C45A6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73C27"/>
    <w:multiLevelType w:val="hybridMultilevel"/>
    <w:tmpl w:val="C5502E18"/>
    <w:lvl w:ilvl="0" w:tplc="223EFF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B6D465A"/>
    <w:multiLevelType w:val="hybridMultilevel"/>
    <w:tmpl w:val="525E6F22"/>
    <w:lvl w:ilvl="0" w:tplc="17C8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61155"/>
    <w:multiLevelType w:val="hybridMultilevel"/>
    <w:tmpl w:val="246464CE"/>
    <w:lvl w:ilvl="0" w:tplc="223EF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5E2854"/>
    <w:multiLevelType w:val="hybridMultilevel"/>
    <w:tmpl w:val="54407B98"/>
    <w:lvl w:ilvl="0" w:tplc="49048E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FB8416A"/>
    <w:multiLevelType w:val="hybridMultilevel"/>
    <w:tmpl w:val="60C86462"/>
    <w:lvl w:ilvl="0" w:tplc="223EFF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710638D"/>
    <w:multiLevelType w:val="hybridMultilevel"/>
    <w:tmpl w:val="E640D83C"/>
    <w:lvl w:ilvl="0" w:tplc="AE8A7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81E0D"/>
    <w:multiLevelType w:val="multilevel"/>
    <w:tmpl w:val="E4703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74314"/>
    <w:rsid w:val="0001572E"/>
    <w:rsid w:val="0008159E"/>
    <w:rsid w:val="00084D06"/>
    <w:rsid w:val="000A0EB7"/>
    <w:rsid w:val="000A2350"/>
    <w:rsid w:val="000A3049"/>
    <w:rsid w:val="000C3252"/>
    <w:rsid w:val="000F2B73"/>
    <w:rsid w:val="00132226"/>
    <w:rsid w:val="00137AEF"/>
    <w:rsid w:val="00171512"/>
    <w:rsid w:val="00186CFB"/>
    <w:rsid w:val="001A52EF"/>
    <w:rsid w:val="002F4076"/>
    <w:rsid w:val="003A4574"/>
    <w:rsid w:val="003B76C2"/>
    <w:rsid w:val="003E05F4"/>
    <w:rsid w:val="004704C8"/>
    <w:rsid w:val="004D348B"/>
    <w:rsid w:val="004F24BA"/>
    <w:rsid w:val="00523952"/>
    <w:rsid w:val="0054371A"/>
    <w:rsid w:val="00563493"/>
    <w:rsid w:val="005806EE"/>
    <w:rsid w:val="0058786D"/>
    <w:rsid w:val="005B14F5"/>
    <w:rsid w:val="005C0523"/>
    <w:rsid w:val="00606465"/>
    <w:rsid w:val="00657E4E"/>
    <w:rsid w:val="006622F3"/>
    <w:rsid w:val="006968FC"/>
    <w:rsid w:val="006B289D"/>
    <w:rsid w:val="006D4A20"/>
    <w:rsid w:val="007D29B0"/>
    <w:rsid w:val="007E66B0"/>
    <w:rsid w:val="00807E43"/>
    <w:rsid w:val="00825858"/>
    <w:rsid w:val="008260CF"/>
    <w:rsid w:val="00842EC1"/>
    <w:rsid w:val="00842FD3"/>
    <w:rsid w:val="008658BB"/>
    <w:rsid w:val="008D16A2"/>
    <w:rsid w:val="009B0655"/>
    <w:rsid w:val="009C3573"/>
    <w:rsid w:val="009C647C"/>
    <w:rsid w:val="009C6704"/>
    <w:rsid w:val="00A364B5"/>
    <w:rsid w:val="00A74314"/>
    <w:rsid w:val="00A81213"/>
    <w:rsid w:val="00AE6FB4"/>
    <w:rsid w:val="00B27883"/>
    <w:rsid w:val="00B357B2"/>
    <w:rsid w:val="00B46656"/>
    <w:rsid w:val="00B71DD2"/>
    <w:rsid w:val="00B76C37"/>
    <w:rsid w:val="00B8605D"/>
    <w:rsid w:val="00B91744"/>
    <w:rsid w:val="00C64629"/>
    <w:rsid w:val="00C674BB"/>
    <w:rsid w:val="00C77224"/>
    <w:rsid w:val="00CD0740"/>
    <w:rsid w:val="00CE68B0"/>
    <w:rsid w:val="00D041B1"/>
    <w:rsid w:val="00D44B25"/>
    <w:rsid w:val="00D4604E"/>
    <w:rsid w:val="00D51886"/>
    <w:rsid w:val="00D75596"/>
    <w:rsid w:val="00DA0B44"/>
    <w:rsid w:val="00DA6CCD"/>
    <w:rsid w:val="00DD7BA7"/>
    <w:rsid w:val="00E364A9"/>
    <w:rsid w:val="00E43DD6"/>
    <w:rsid w:val="00E666CD"/>
    <w:rsid w:val="00E86532"/>
    <w:rsid w:val="00EA4D32"/>
    <w:rsid w:val="00EB0EBE"/>
    <w:rsid w:val="00EB4D7C"/>
    <w:rsid w:val="00F07C21"/>
    <w:rsid w:val="00F34186"/>
    <w:rsid w:val="00F44528"/>
    <w:rsid w:val="00F475FF"/>
    <w:rsid w:val="00F749BF"/>
    <w:rsid w:val="00F94252"/>
    <w:rsid w:val="00FC330D"/>
    <w:rsid w:val="00FD26B0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B25"/>
  </w:style>
  <w:style w:type="paragraph" w:styleId="Nagwek1">
    <w:name w:val="heading 1"/>
    <w:basedOn w:val="Normalny"/>
    <w:next w:val="Normalny"/>
    <w:link w:val="Nagwek1Znak"/>
    <w:uiPriority w:val="9"/>
    <w:qFormat/>
    <w:rsid w:val="00842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1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743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0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62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71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15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4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4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A20"/>
  </w:style>
  <w:style w:type="paragraph" w:styleId="Stopka">
    <w:name w:val="footer"/>
    <w:basedOn w:val="Normalny"/>
    <w:link w:val="StopkaZnak"/>
    <w:uiPriority w:val="99"/>
    <w:unhideWhenUsed/>
    <w:rsid w:val="006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A20"/>
  </w:style>
  <w:style w:type="character" w:customStyle="1" w:styleId="Nagwek1Znak">
    <w:name w:val="Nagłówek 1 Znak"/>
    <w:basedOn w:val="Domylnaczcionkaakapitu"/>
    <w:link w:val="Nagwek1"/>
    <w:uiPriority w:val="9"/>
    <w:rsid w:val="0084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2EC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42EC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42EC1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EC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04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51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egenda">
    <w:name w:val="caption"/>
    <w:basedOn w:val="Normalny"/>
    <w:next w:val="Normalny"/>
    <w:uiPriority w:val="35"/>
    <w:unhideWhenUsed/>
    <w:qFormat/>
    <w:rsid w:val="00CE68B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2E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1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431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60C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46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46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4629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1715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7151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34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34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348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A20"/>
  </w:style>
  <w:style w:type="paragraph" w:styleId="Stopka">
    <w:name w:val="footer"/>
    <w:basedOn w:val="Normalny"/>
    <w:link w:val="StopkaZnak"/>
    <w:uiPriority w:val="99"/>
    <w:unhideWhenUsed/>
    <w:rsid w:val="006D4A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A20"/>
  </w:style>
  <w:style w:type="character" w:customStyle="1" w:styleId="Nagwek1Znak">
    <w:name w:val="Nagłówek 1 Znak"/>
    <w:basedOn w:val="Domylnaczcionkaakapitu"/>
    <w:link w:val="Nagwek1"/>
    <w:uiPriority w:val="9"/>
    <w:rsid w:val="00842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42EC1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42EC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42EC1"/>
    <w:pPr>
      <w:spacing w:after="100"/>
      <w:ind w:left="2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2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EC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0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0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0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0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04E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D51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4.xml"/><Relationship Id="rId18" Type="http://schemas.openxmlformats.org/officeDocument/2006/relationships/chart" Target="charts/chart8.xml"/><Relationship Id="rId26" Type="http://schemas.openxmlformats.org/officeDocument/2006/relationships/hyperlink" Target="https://www.ore.edu.pl/wp-content/uploads/ksztalcenie_zawodowe/zawody/mechanik-operator-pojazdow-i-maszyn-rolniczych-834103.pdf" TargetMode="External"/><Relationship Id="rId39" Type="http://schemas.openxmlformats.org/officeDocument/2006/relationships/hyperlink" Target="https://www.ore.edu.pl/wp-content/uploads/ksztalcenie_zawodowe/zawody/technik-elektronik-311408.pdf" TargetMode="External"/><Relationship Id="rId21" Type="http://schemas.openxmlformats.org/officeDocument/2006/relationships/hyperlink" Target="https://www.ore.edu.pl/wp-content/uploads/ksztalcenie_zawodowe/zawody2-3/Technik-automatyk-311909.pdf" TargetMode="External"/><Relationship Id="rId34" Type="http://schemas.openxmlformats.org/officeDocument/2006/relationships/hyperlink" Target="https://www.ore.edu.pl/wp-content/uploads/ksztalcenie_zawodowe/zawody/mechatronik-742118.pdf" TargetMode="External"/><Relationship Id="rId42" Type="http://schemas.openxmlformats.org/officeDocument/2006/relationships/hyperlink" Target="https://www.ore.edu.pl/wp-content/uploads/ksztalcenie_zawodowe/zawody2-3/Operator-urzadzen-przemyslu-szklarskiego-818116.pdf" TargetMode="External"/><Relationship Id="rId47" Type="http://schemas.openxmlformats.org/officeDocument/2006/relationships/hyperlink" Target="https://www.ore.edu.pl/wp-content/uploads/ksztalcenie_zawodowe/zawody2-3/technik-mechanik-311504.pdf" TargetMode="External"/><Relationship Id="rId50" Type="http://schemas.openxmlformats.org/officeDocument/2006/relationships/hyperlink" Target="https://www.ore.edu.pl/wp-content/uploads/ksztalcenie_zawodowe/zawody2-3/Technik-urzadzen-i-systemow-energetyki-odnawialnej-311930.pdf" TargetMode="External"/><Relationship Id="rId55" Type="http://schemas.openxmlformats.org/officeDocument/2006/relationships/hyperlink" Target="https://www.ore.edu.pl/wp-content/uploads/ksztalcenie_zawodowe/zawody2-3/Technik-technologii-drewna-311922.pdf" TargetMode="External"/><Relationship Id="rId6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s://www.ore.edu.pl/wp-content/uploads/ksztalcenie_zawodowe/zawody/elektromechanik-741201.pdf" TargetMode="External"/><Relationship Id="rId29" Type="http://schemas.openxmlformats.org/officeDocument/2006/relationships/hyperlink" Target="https://www.ore.edu.pl/wp-content/uploads/ksztalcenie_zawodowe/zawody2-3/Operator-urzadzen-przemyslu-chemicznego-813134.pdf" TargetMode="External"/><Relationship Id="rId41" Type="http://schemas.openxmlformats.org/officeDocument/2006/relationships/hyperlink" Target="https://www.ore.edu.pl/wp-content/uploads/ksztalcenie_zawodowe/zawody2-3/Operator-maszyn-i-urzadzen-do-przetworstwa-tworzyw-sztucznych-814209.pdf" TargetMode="External"/><Relationship Id="rId54" Type="http://schemas.openxmlformats.org/officeDocument/2006/relationships/hyperlink" Target="https://www.ore.edu.pl/wp-content/uploads/ksztalcenie_zawodowe/zawody2-3/Stolarz-752205.pdf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hyperlink" Target="https://www.ore.edu.pl/wp-content/uploads/ksztalcenie_zawodowe/zawody2-3/Operator-obrabiarek-skrawajacych-722307.pdf" TargetMode="External"/><Relationship Id="rId32" Type="http://schemas.openxmlformats.org/officeDocument/2006/relationships/hyperlink" Target="https://www.ore.edu.pl/wp-content/uploads/ksztalcenie_zawodowe/zawody/elektronik-742117.pdf" TargetMode="External"/><Relationship Id="rId37" Type="http://schemas.openxmlformats.org/officeDocument/2006/relationships/hyperlink" Target="https://www.ore.edu.pl/wp-content/uploads/ksztalcenie_zawodowe/zawody/operator-maszyn-i-urzadzen-hutniczych-812121.pdf" TargetMode="External"/><Relationship Id="rId40" Type="http://schemas.openxmlformats.org/officeDocument/2006/relationships/hyperlink" Target="https://www.ore.edu.pl/wp-content/uploads/ksztalcenie_zawodowe/zawody/technik-hutnik-311704.pdf" TargetMode="External"/><Relationship Id="rId45" Type="http://schemas.openxmlformats.org/officeDocument/2006/relationships/hyperlink" Target="https://www.ore.edu.pl/wp-content/uploads/ksztalcenie_zawodowe/zawody2-3/cd/piekarz_751204_2.pdf" TargetMode="External"/><Relationship Id="rId53" Type="http://schemas.openxmlformats.org/officeDocument/2006/relationships/hyperlink" Target="https://www.ore.edu.pl/wp-content/uploads/ksztalcenie_zawodowe/zawody/murarz-tynkarz-711204.pdf" TargetMode="External"/><Relationship Id="rId58" Type="http://schemas.openxmlformats.org/officeDocument/2006/relationships/hyperlink" Target="https://www.ore.edu.pl/wp-content/uploads/ksztalcenie_zawodowe/pomocnicze/pracownik-pomocniczy-stolarza-932918-ppkz.pdf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hyperlink" Target="https://www.ore.edu.pl/wp-content/uploads/ksztalcenie_zawodowe/zawody/elektryk-741103.pdf" TargetMode="External"/><Relationship Id="rId28" Type="http://schemas.openxmlformats.org/officeDocument/2006/relationships/hyperlink" Target="https://www.ore.edu.pl/wp-content/uploads/ksztalcenie_zawodowe/pomocnicze/pracownik-pomocniczy-slusarza-932917-ppkz.pdf" TargetMode="External"/><Relationship Id="rId36" Type="http://schemas.openxmlformats.org/officeDocument/2006/relationships/hyperlink" Target="https://www.ore.edu.pl/wp-content/uploads/ksztalcenie_zawodowe/zawody/modelarz-odlewniczy-721104.pdf" TargetMode="External"/><Relationship Id="rId49" Type="http://schemas.openxmlformats.org/officeDocument/2006/relationships/hyperlink" Target="https://www.ore.edu.pl/wp-content/uploads/ksztalcenie_zawodowe/zawody2-3/Mechanik-precyzyjny-731103.pdf" TargetMode="External"/><Relationship Id="rId57" Type="http://schemas.openxmlformats.org/officeDocument/2006/relationships/hyperlink" Target="https://www.ore.edu.pl/wp-content/uploads/ksztalcenie_zawodowe/zawody/technik-elektryk-311303.pdf" TargetMode="External"/><Relationship Id="rId61" Type="http://schemas.openxmlformats.org/officeDocument/2006/relationships/fontTable" Target="fontTable.xml"/><Relationship Id="rId10" Type="http://schemas.openxmlformats.org/officeDocument/2006/relationships/chart" Target="charts/chart1.xml"/><Relationship Id="rId19" Type="http://schemas.openxmlformats.org/officeDocument/2006/relationships/hyperlink" Target="http://www.pracuj.pl" TargetMode="External"/><Relationship Id="rId31" Type="http://schemas.openxmlformats.org/officeDocument/2006/relationships/hyperlink" Target="https://www.ore.edu.pl/wp-content/uploads/ksztalcenie_zawodowe/zawody2-3/Kierowca-mechanik-832201.pdf" TargetMode="External"/><Relationship Id="rId44" Type="http://schemas.openxmlformats.org/officeDocument/2006/relationships/hyperlink" Target="https://www.ore.edu.pl/wp-content/uploads/ksztalcenie_zawodowe/zawody2-3/Mechanik-operator-maszyn-do-produkcji-drzewnej-817212.pdf" TargetMode="External"/><Relationship Id="rId52" Type="http://schemas.openxmlformats.org/officeDocument/2006/relationships/hyperlink" Target="https://www.ore.edu.pl/wp-content/uploads/ksztalcenie_zawodowe/zawody2-3/Ciesla-711501.pdf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s://www.ore.edu.pl/wp-content/uploads/ksztalcenie_zawodowe/zawody2-3/Mechanik-monter-maszyn-i-urzadzen-723310.pdf" TargetMode="External"/><Relationship Id="rId27" Type="http://schemas.openxmlformats.org/officeDocument/2006/relationships/hyperlink" Target="https://www.ore.edu.pl/wp-content/uploads/ksztalcenie_zawodowe/pomocnicze/pracownik-pomocniczy-mechanika-932916-ppkz.pdf" TargetMode="External"/><Relationship Id="rId30" Type="http://schemas.openxmlformats.org/officeDocument/2006/relationships/hyperlink" Target="https://www.ore.edu.pl/wp-content/uploads/ksztalcenie_zawodowe/zawody/operator-maszyn-i-urzadzen-odlewniczych-812107.pdf" TargetMode="External"/><Relationship Id="rId35" Type="http://schemas.openxmlformats.org/officeDocument/2006/relationships/hyperlink" Target="https://www.ore.edu.pl/wp-content/uploads/ksztalcenie_zawodowe/zawody/technik-mechatronik-311410.pdf" TargetMode="External"/><Relationship Id="rId43" Type="http://schemas.openxmlformats.org/officeDocument/2006/relationships/hyperlink" Target="https://www.ore.edu.pl/wp-content/uploads/ksztalcenie_zawodowe/zawody2-3/cd/drukarz_732201.pdf" TargetMode="External"/><Relationship Id="rId48" Type="http://schemas.openxmlformats.org/officeDocument/2006/relationships/hyperlink" Target="https://www.ore.edu.pl/wp-content/uploads/ksztalcenie_zawodowe/zawody2-3/Technik-mechanik-lotniczy-315317.pdf" TargetMode="External"/><Relationship Id="rId56" Type="http://schemas.openxmlformats.org/officeDocument/2006/relationships/hyperlink" Target="https://www.ore.edu.pl/wp-content/uploads/ksztalcenie_zawodowe/zawody2-3/Optyk-mechanik-731104.pdf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www.ore.edu.pl/wp-content/uploads/ksztalcenie_zawodowe/pomocnicze/pracownik-pomocniczy-krawca-932915-ppkz.pdf" TargetMode="External"/><Relationship Id="rId3" Type="http://schemas.openxmlformats.org/officeDocument/2006/relationships/styles" Target="styles.xml"/><Relationship Id="rId12" Type="http://schemas.openxmlformats.org/officeDocument/2006/relationships/chart" Target="charts/chart3.xml"/><Relationship Id="rId17" Type="http://schemas.openxmlformats.org/officeDocument/2006/relationships/chart" Target="charts/chart7.xml"/><Relationship Id="rId25" Type="http://schemas.openxmlformats.org/officeDocument/2006/relationships/hyperlink" Target="https://www.ore.edu.pl/wp-content/uploads/ksztalcenie_zawodowe/zawody/technik-odlewnik-311705.pdf" TargetMode="External"/><Relationship Id="rId33" Type="http://schemas.openxmlformats.org/officeDocument/2006/relationships/hyperlink" Target="https://www.ore.edu.pl/wp-content/uploads/ksztalcenie_zawodowe/zawody2-3/Mechanik-automatyki-przemyslowej-i-urzadzen%20precyzyjnych-731102.pdf" TargetMode="External"/><Relationship Id="rId38" Type="http://schemas.openxmlformats.org/officeDocument/2006/relationships/hyperlink" Target="https://www.ore.edu.pl/wp-content/uploads/ksztalcenie_zawodowe/zawody2-3/slusarz-722204.pdf" TargetMode="External"/><Relationship Id="rId46" Type="http://schemas.openxmlformats.org/officeDocument/2006/relationships/hyperlink" Target="https://www.ore.edu.pl/wp-content/uploads/ksztalcenie_zawodowe/zawody2-3/cd/wedliniarz_751107_1.pdf" TargetMode="External"/><Relationship Id="rId59" Type="http://schemas.openxmlformats.org/officeDocument/2006/relationships/hyperlink" Target="https://www.ore.edu.pl/wp-content/uploads/ksztalcenie_zawodowe/zawody2-3/cd/pracownik_pomocniczy_obslugi_hotelowej_911205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uprzeszow.praca.gov.pl/-/3934843-zapotrzebowanie-na-zawody-oraz-kwalifikacje-i-kompetencje-na-podkarpaciu-%E2%80%93-listopad-2016-r-" TargetMode="External"/><Relationship Id="rId7" Type="http://schemas.openxmlformats.org/officeDocument/2006/relationships/hyperlink" Target="http://wuprzeszow.praca.gov.pl/-/3934843-zapotrzebowanie-na-zawody-oraz-kwalifikacje-i-kompetencje-na-podkarpaciu-%E2%80%93-listopad-2016-r-" TargetMode="External"/><Relationship Id="rId2" Type="http://schemas.openxmlformats.org/officeDocument/2006/relationships/hyperlink" Target="http://wuprzeszow.praca.gov.pl/-/5960412-badanie-potencjal-kadrowy-podkarpackiego-rynku-pracy-" TargetMode="External"/><Relationship Id="rId1" Type="http://schemas.openxmlformats.org/officeDocument/2006/relationships/hyperlink" Target="http://wuprzeszow.praca.gov.pl/-/5959871-badanie-zapotrzebowanie-na-zawody-oraz-kwalifikacje-i-kompetencje-na-lokalnych-rynkach-pracy-w-wojewodztwie-podkarpackim-" TargetMode="External"/><Relationship Id="rId6" Type="http://schemas.openxmlformats.org/officeDocument/2006/relationships/hyperlink" Target="http://wuprzeszow.praca.gov.pl/-/7991355-konkurs-biznes-klasa-2018-rozstrzygniety" TargetMode="External"/><Relationship Id="rId5" Type="http://schemas.openxmlformats.org/officeDocument/2006/relationships/hyperlink" Target="http://wuprzeszow.praca.gov.pl/-/5959370-konkurs-biznes-klasa-2017-rozstrzygniety" TargetMode="External"/><Relationship Id="rId4" Type="http://schemas.openxmlformats.org/officeDocument/2006/relationships/hyperlink" Target="http://wuprzeszow.praca.gov.pl/-/3900111-konkurs-biznes-klasa-edycja-2016-rozstrzygniety-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Arkusz_programu_Microsoft_Office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Arkusz_programu_Microsoft_Office_Excel2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Zeszyt1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Vostro\Dropbox\przetargi%20oferty%20(1)\Realizowane\WUP%20Rzesz&#243;w%2024.06\Realizacja\raport%20ko&#324;cowy\liczenie_wynik&#243;w_gosia%20(Odzyskany)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algorzata.Kawalec\Desktop\OPRACOWANIA\baza%20SZ\2017-2018\ucz_zaw_zesp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29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Arkusz3!$B$2</c:f>
              <c:strCache>
                <c:ptCount val="1"/>
                <c:pt idx="0">
                  <c:v>Skumulowane tak - 2017</c:v>
                </c:pt>
              </c:strCache>
            </c:strRef>
          </c:tx>
          <c:dPt>
            <c:idx val="9"/>
            <c:spPr>
              <a:solidFill>
                <a:schemeClr val="tx2"/>
              </a:solidFill>
            </c:spPr>
          </c:dPt>
          <c:dLbls>
            <c:dLbl>
              <c:idx val="0"/>
              <c:layout>
                <c:manualLayout>
                  <c:x val="0"/>
                  <c:y val="-2.08246563931695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51,9%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-2.206044562100158E-3"/>
                  <c:y val="3.100294527980162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50,0%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2.2060600459037011E-3"/>
                  <c:y val="2.489341791261091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48,5%</a:t>
                    </a:r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40,6%</a:t>
                    </a:r>
                  </a:p>
                </c:rich>
              </c:tx>
              <c:showVal val="1"/>
            </c:dLbl>
            <c:dLbl>
              <c:idx val="4"/>
              <c:layout>
                <c:manualLayout>
                  <c:x val="0"/>
                  <c:y val="1.24007936507936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38,0%</a:t>
                    </a:r>
                  </a:p>
                </c:rich>
              </c:tx>
              <c:showVal val="1"/>
            </c:dLbl>
            <c:dLbl>
              <c:idx val="5"/>
              <c:layout>
                <c:manualLayout>
                  <c:x val="2.2060600459037011E-3"/>
                  <c:y val="-3.10939017536450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37,1%</a:t>
                    </a:r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35,1%</a:t>
                    </a:r>
                  </a:p>
                </c:rich>
              </c:tx>
              <c:showVal val="1"/>
            </c:dLbl>
            <c:dLbl>
              <c:idx val="7"/>
              <c:layout>
                <c:manualLayout>
                  <c:x val="0"/>
                  <c:y val="1.762924451153893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33,0%</a:t>
                    </a:r>
                  </a:p>
                </c:rich>
              </c:tx>
              <c:showVal val="1"/>
            </c:dLbl>
            <c:dLbl>
              <c:idx val="8"/>
              <c:layout>
                <c:manualLayout>
                  <c:x val="0"/>
                  <c:y val="-2.17013888888888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32,2%</a:t>
                    </a:r>
                  </a:p>
                </c:rich>
              </c:tx>
              <c:showVal val="1"/>
            </c:dLbl>
            <c:dLbl>
              <c:idx val="9"/>
              <c:layout>
                <c:manualLayout>
                  <c:x val="4.4128150233071354E-3"/>
                  <c:y val="1.665703749997541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31,4%</a:t>
                    </a:r>
                  </a:p>
                </c:rich>
              </c:tx>
              <c:showVal val="1"/>
            </c:dLbl>
            <c:dLbl>
              <c:idx val="10"/>
              <c:layout>
                <c:manualLayout>
                  <c:x val="8.8252825808644141E-3"/>
                  <c:y val="-3.507421234837345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31,3%</a:t>
                    </a:r>
                  </a:p>
                </c:rich>
              </c:tx>
              <c:showVal val="1"/>
            </c:dLbl>
            <c:dLbl>
              <c:idx val="11"/>
              <c:layout>
                <c:manualLayout>
                  <c:x val="6.6192225349607078E-3"/>
                  <c:y val="8.328190855548742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31,2%</a:t>
                    </a:r>
                  </a:p>
                </c:rich>
              </c:tx>
              <c:showVal val="1"/>
            </c:dLbl>
            <c:dLbl>
              <c:idx val="12"/>
              <c:layout>
                <c:manualLayout>
                  <c:x val="4.4128150233071354E-3"/>
                  <c:y val="2.498555624996311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28,5%</a:t>
                    </a:r>
                  </a:p>
                </c:rich>
              </c:tx>
              <c:showVal val="1"/>
            </c:dLbl>
            <c:dLbl>
              <c:idx val="13"/>
              <c:layout>
                <c:manualLayout>
                  <c:x val="2.2064075116536492E-3"/>
                  <c:y val="-1.638095038235768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28,1%</a:t>
                    </a:r>
                  </a:p>
                </c:rich>
              </c:tx>
              <c:showVal val="1"/>
            </c:dLbl>
            <c:dLbl>
              <c:idx val="14"/>
              <c:layout>
                <c:manualLayout>
                  <c:x val="4.4128150233071354E-3"/>
                  <c:y val="2.914981562495700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27,6%</a:t>
                    </a:r>
                  </a:p>
                </c:rich>
              </c:tx>
              <c:showVal val="1"/>
            </c:dLbl>
            <c:dLbl>
              <c:idx val="15"/>
              <c:layout>
                <c:manualLayout>
                  <c:x val="0"/>
                  <c:y val="-3.410218253968253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27,3%</a:t>
                    </a:r>
                  </a:p>
                </c:rich>
              </c:tx>
              <c:showVal val="1"/>
            </c:dLbl>
            <c:dLbl>
              <c:idx val="16"/>
              <c:tx>
                <c:rich>
                  <a:bodyPr/>
                  <a:lstStyle/>
                  <a:p>
                    <a:r>
                      <a:rPr lang="en-US"/>
                      <a:t>27,1%</a:t>
                    </a:r>
                  </a:p>
                </c:rich>
              </c:tx>
              <c:showVal val="1"/>
            </c:dLbl>
            <c:dLbl>
              <c:idx val="17"/>
              <c:layout>
                <c:manualLayout>
                  <c:x val="4.4128150233071354E-3"/>
                  <c:y val="1.04565536589412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23,9%</a:t>
                    </a:r>
                  </a:p>
                </c:rich>
              </c:tx>
              <c:showVal val="1"/>
            </c:dLbl>
            <c:dLbl>
              <c:idx val="18"/>
              <c:layout>
                <c:manualLayout>
                  <c:x val="1.7650912627478664E-2"/>
                  <c:y val="3.11860400909972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23,2%</a:t>
                    </a:r>
                  </a:p>
                </c:rich>
              </c:tx>
              <c:showVal val="1"/>
            </c:dLbl>
            <c:dLbl>
              <c:idx val="19"/>
              <c:layout>
                <c:manualLayout>
                  <c:x val="1.3238445069921402E-2"/>
                  <c:y val="-4.16425937499385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19,8%</a:t>
                    </a:r>
                  </a:p>
                </c:rich>
              </c:tx>
              <c:showVal val="1"/>
            </c:dLbl>
            <c:showVal val="1"/>
          </c:dLbls>
          <c:cat>
            <c:strRef>
              <c:f>Arkusz3!$A$3:$A$22</c:f>
              <c:strCache>
                <c:ptCount val="20"/>
                <c:pt idx="0">
                  <c:v>Sekcja H</c:v>
                </c:pt>
                <c:pt idx="1">
                  <c:v>Sekcja D</c:v>
                </c:pt>
                <c:pt idx="2">
                  <c:v>Sekcja C</c:v>
                </c:pt>
                <c:pt idx="3">
                  <c:v>Sekcja I</c:v>
                </c:pt>
                <c:pt idx="4">
                  <c:v>Sekcja F</c:v>
                </c:pt>
                <c:pt idx="5">
                  <c:v>Sekcja J</c:v>
                </c:pt>
                <c:pt idx="6">
                  <c:v>Sekcja S</c:v>
                </c:pt>
                <c:pt idx="7">
                  <c:v>Sekcja L</c:v>
                </c:pt>
                <c:pt idx="8">
                  <c:v>Sekcja E</c:v>
                </c:pt>
                <c:pt idx="9">
                  <c:v>ŚREDNIO</c:v>
                </c:pt>
                <c:pt idx="10">
                  <c:v>Sekcja B</c:v>
                </c:pt>
                <c:pt idx="11">
                  <c:v>Sekcja A</c:v>
                </c:pt>
                <c:pt idx="12">
                  <c:v>Sekcja K</c:v>
                </c:pt>
                <c:pt idx="13">
                  <c:v>Sekcja O</c:v>
                </c:pt>
                <c:pt idx="14">
                  <c:v>Sekcja Q</c:v>
                </c:pt>
                <c:pt idx="15">
                  <c:v>Sekcja M</c:v>
                </c:pt>
                <c:pt idx="16">
                  <c:v>Sekcja G</c:v>
                </c:pt>
                <c:pt idx="17">
                  <c:v>Sekcja P</c:v>
                </c:pt>
                <c:pt idx="18">
                  <c:v>Sekcja N</c:v>
                </c:pt>
                <c:pt idx="19">
                  <c:v>Sekcja R</c:v>
                </c:pt>
              </c:strCache>
            </c:strRef>
          </c:cat>
          <c:val>
            <c:numRef>
              <c:f>Arkusz3!$B$3:$B$22</c:f>
              <c:numCache>
                <c:formatCode>0.00%</c:formatCode>
                <c:ptCount val="20"/>
                <c:pt idx="0">
                  <c:v>0.51900000000000002</c:v>
                </c:pt>
                <c:pt idx="1">
                  <c:v>0.5</c:v>
                </c:pt>
                <c:pt idx="2">
                  <c:v>0.48500000000000032</c:v>
                </c:pt>
                <c:pt idx="3">
                  <c:v>0.40600000000000008</c:v>
                </c:pt>
                <c:pt idx="4">
                  <c:v>0.38000000000000039</c:v>
                </c:pt>
                <c:pt idx="5">
                  <c:v>0.37100000000000033</c:v>
                </c:pt>
                <c:pt idx="6">
                  <c:v>0.35100000000000031</c:v>
                </c:pt>
                <c:pt idx="7">
                  <c:v>0.33000000000000046</c:v>
                </c:pt>
                <c:pt idx="8">
                  <c:v>0.3220000000000004</c:v>
                </c:pt>
                <c:pt idx="9">
                  <c:v>0.31400000000000033</c:v>
                </c:pt>
                <c:pt idx="10">
                  <c:v>0.31300000000000033</c:v>
                </c:pt>
                <c:pt idx="11">
                  <c:v>0.31200000000000033</c:v>
                </c:pt>
                <c:pt idx="12">
                  <c:v>0.28500000000000031</c:v>
                </c:pt>
                <c:pt idx="13">
                  <c:v>0.28100000000000008</c:v>
                </c:pt>
                <c:pt idx="14">
                  <c:v>0.27600000000000002</c:v>
                </c:pt>
                <c:pt idx="15">
                  <c:v>0.27300000000000002</c:v>
                </c:pt>
                <c:pt idx="16">
                  <c:v>0.27100000000000002</c:v>
                </c:pt>
                <c:pt idx="17">
                  <c:v>0.23900000000000016</c:v>
                </c:pt>
                <c:pt idx="18">
                  <c:v>0.23200000000000001</c:v>
                </c:pt>
                <c:pt idx="19">
                  <c:v>0.19800000000000009</c:v>
                </c:pt>
              </c:numCache>
            </c:numRef>
          </c:val>
        </c:ser>
        <c:ser>
          <c:idx val="1"/>
          <c:order val="1"/>
          <c:tx>
            <c:strRef>
              <c:f>Arkusz3!$C$2</c:f>
              <c:strCache>
                <c:ptCount val="1"/>
                <c:pt idx="0">
                  <c:v>Skumulowane tak - 2016</c:v>
                </c:pt>
              </c:strCache>
            </c:strRef>
          </c:tx>
          <c:dPt>
            <c:idx val="9"/>
            <c:spPr>
              <a:solidFill>
                <a:schemeClr val="tx2">
                  <a:lumMod val="40000"/>
                  <a:lumOff val="60000"/>
                </a:schemeClr>
              </a:solidFill>
            </c:spPr>
          </c:dPt>
          <c:cat>
            <c:strRef>
              <c:f>Arkusz3!$A$3:$A$22</c:f>
              <c:strCache>
                <c:ptCount val="20"/>
                <c:pt idx="0">
                  <c:v>Sekcja H</c:v>
                </c:pt>
                <c:pt idx="1">
                  <c:v>Sekcja D</c:v>
                </c:pt>
                <c:pt idx="2">
                  <c:v>Sekcja C</c:v>
                </c:pt>
                <c:pt idx="3">
                  <c:v>Sekcja I</c:v>
                </c:pt>
                <c:pt idx="4">
                  <c:v>Sekcja F</c:v>
                </c:pt>
                <c:pt idx="5">
                  <c:v>Sekcja J</c:v>
                </c:pt>
                <c:pt idx="6">
                  <c:v>Sekcja S</c:v>
                </c:pt>
                <c:pt idx="7">
                  <c:v>Sekcja L</c:v>
                </c:pt>
                <c:pt idx="8">
                  <c:v>Sekcja E</c:v>
                </c:pt>
                <c:pt idx="9">
                  <c:v>ŚREDNIO</c:v>
                </c:pt>
                <c:pt idx="10">
                  <c:v>Sekcja B</c:v>
                </c:pt>
                <c:pt idx="11">
                  <c:v>Sekcja A</c:v>
                </c:pt>
                <c:pt idx="12">
                  <c:v>Sekcja K</c:v>
                </c:pt>
                <c:pt idx="13">
                  <c:v>Sekcja O</c:v>
                </c:pt>
                <c:pt idx="14">
                  <c:v>Sekcja Q</c:v>
                </c:pt>
                <c:pt idx="15">
                  <c:v>Sekcja M</c:v>
                </c:pt>
                <c:pt idx="16">
                  <c:v>Sekcja G</c:v>
                </c:pt>
                <c:pt idx="17">
                  <c:v>Sekcja P</c:v>
                </c:pt>
                <c:pt idx="18">
                  <c:v>Sekcja N</c:v>
                </c:pt>
                <c:pt idx="19">
                  <c:v>Sekcja R</c:v>
                </c:pt>
              </c:strCache>
            </c:strRef>
          </c:cat>
          <c:val>
            <c:numRef>
              <c:f>Arkusz3!$C$3:$C$22</c:f>
              <c:numCache>
                <c:formatCode>0.00%</c:formatCode>
                <c:ptCount val="20"/>
                <c:pt idx="0">
                  <c:v>0.45700000000000002</c:v>
                </c:pt>
                <c:pt idx="1">
                  <c:v>0.23100000000000001</c:v>
                </c:pt>
                <c:pt idx="2">
                  <c:v>0.39800000000000046</c:v>
                </c:pt>
                <c:pt idx="3">
                  <c:v>0.40200000000000002</c:v>
                </c:pt>
                <c:pt idx="4">
                  <c:v>0.46700000000000008</c:v>
                </c:pt>
                <c:pt idx="5">
                  <c:v>0.18600000000000017</c:v>
                </c:pt>
                <c:pt idx="6">
                  <c:v>0.21900000000000017</c:v>
                </c:pt>
                <c:pt idx="7">
                  <c:v>0.21300000000000016</c:v>
                </c:pt>
                <c:pt idx="8">
                  <c:v>0.27100000000000002</c:v>
                </c:pt>
                <c:pt idx="9">
                  <c:v>0.30800000000000033</c:v>
                </c:pt>
                <c:pt idx="10">
                  <c:v>0.35700000000000032</c:v>
                </c:pt>
                <c:pt idx="11">
                  <c:v>0.27900000000000008</c:v>
                </c:pt>
                <c:pt idx="12">
                  <c:v>0.25700000000000001</c:v>
                </c:pt>
                <c:pt idx="13">
                  <c:v>0.15100000000000016</c:v>
                </c:pt>
                <c:pt idx="14">
                  <c:v>0.22400000000000009</c:v>
                </c:pt>
                <c:pt idx="15">
                  <c:v>0.21600000000000016</c:v>
                </c:pt>
                <c:pt idx="16">
                  <c:v>0.31900000000000039</c:v>
                </c:pt>
                <c:pt idx="17">
                  <c:v>0.10600000000000002</c:v>
                </c:pt>
                <c:pt idx="18">
                  <c:v>0.26300000000000001</c:v>
                </c:pt>
                <c:pt idx="19">
                  <c:v>0.23700000000000004</c:v>
                </c:pt>
              </c:numCache>
            </c:numRef>
          </c:val>
        </c:ser>
        <c:shape val="cylinder"/>
        <c:axId val="102401152"/>
        <c:axId val="102403072"/>
        <c:axId val="0"/>
      </c:bar3DChart>
      <c:catAx>
        <c:axId val="102401152"/>
        <c:scaling>
          <c:orientation val="minMax"/>
        </c:scaling>
        <c:axPos val="b"/>
        <c:numFmt formatCode="General" sourceLinked="0"/>
        <c:tickLblPos val="nextTo"/>
        <c:crossAx val="102403072"/>
        <c:crosses val="autoZero"/>
        <c:auto val="1"/>
        <c:lblAlgn val="ctr"/>
        <c:lblOffset val="100"/>
      </c:catAx>
      <c:valAx>
        <c:axId val="102403072"/>
        <c:scaling>
          <c:orientation val="minMax"/>
        </c:scaling>
        <c:axPos val="l"/>
        <c:majorGridlines/>
        <c:numFmt formatCode="0.00%" sourceLinked="1"/>
        <c:tickLblPos val="nextTo"/>
        <c:crossAx val="102401152"/>
        <c:crosses val="autoZero"/>
        <c:crossBetween val="between"/>
      </c:valAx>
    </c:plotArea>
    <c:legend>
      <c:legendPos val="b"/>
    </c:legend>
    <c:plotVisOnly val="1"/>
    <c:dispBlanksAs val="gap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5"/>
  <c:chart>
    <c:plotArea>
      <c:layout>
        <c:manualLayout>
          <c:layoutTarget val="inner"/>
          <c:xMode val="edge"/>
          <c:yMode val="edge"/>
          <c:x val="0.10274015059291873"/>
          <c:y val="0.11772137642142297"/>
          <c:w val="0.33319347523220394"/>
          <c:h val="0.7646115716781009"/>
        </c:manualLayout>
      </c:layout>
      <c:pieChart>
        <c:varyColors val="1"/>
        <c:ser>
          <c:idx val="0"/>
          <c:order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900"/>
                      <a:t>0,5%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22,2%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900"/>
                      <a:t>11,2%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10,1%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900"/>
                      <a:t>15,9</a:t>
                    </a:r>
                    <a:r>
                      <a:rPr lang="pl-PL" sz="900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0,2%</a:t>
                    </a:r>
                    <a:endParaRPr lang="en-US"/>
                  </a:p>
                </c:rich>
              </c:tx>
              <c:showVal val="1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900"/>
                      <a:t>27,9%</a:t>
                    </a:r>
                    <a:endParaRPr lang="en-US"/>
                  </a:p>
                </c:rich>
              </c:tx>
              <c:showVal val="1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900"/>
                      <a:t>8,7%</a:t>
                    </a:r>
                    <a:endParaRPr lang="en-US"/>
                  </a:p>
                </c:rich>
              </c:tx>
              <c:showVal val="1"/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900"/>
                      <a:t>3,4%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900"/>
                </a:pPr>
                <a:endParaRPr lang="pl-PL"/>
              </a:p>
            </c:txPr>
            <c:showVal val="1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Arkusz1!$B$5:$B$13</c:f>
              <c:strCache>
                <c:ptCount val="9"/>
                <c:pt idx="0">
                  <c:v>Przedstawiciele władz publicznych, wyżsi urzędnicy i kierownicy</c:v>
                </c:pt>
                <c:pt idx="1">
                  <c:v>Specjaliści</c:v>
                </c:pt>
                <c:pt idx="2">
                  <c:v>Technicy i inny średni personel</c:v>
                </c:pt>
                <c:pt idx="3">
                  <c:v>Pracownicy biurowi</c:v>
                </c:pt>
                <c:pt idx="4">
                  <c:v>Pracownicy usług i sprzedawcy</c:v>
                </c:pt>
                <c:pt idx="5">
                  <c:v>Rolnicy, ogrodnicy, leśnicy i rybacy</c:v>
                </c:pt>
                <c:pt idx="6">
                  <c:v>Robotnicy przemysłowi i rzemieślnicy</c:v>
                </c:pt>
                <c:pt idx="7">
                  <c:v>Operatorzy i monterzy maszyn i urządzeń</c:v>
                </c:pt>
                <c:pt idx="8">
                  <c:v>Pracownicy wykonujący prace proste</c:v>
                </c:pt>
              </c:strCache>
            </c:strRef>
          </c:cat>
          <c:val>
            <c:numRef>
              <c:f>Arkusz1!$C$5:$C$13</c:f>
              <c:numCache>
                <c:formatCode>0.00%</c:formatCode>
                <c:ptCount val="9"/>
                <c:pt idx="0">
                  <c:v>5.0000000000000053E-3</c:v>
                </c:pt>
                <c:pt idx="1">
                  <c:v>0.222</c:v>
                </c:pt>
                <c:pt idx="2">
                  <c:v>0.112</c:v>
                </c:pt>
                <c:pt idx="3">
                  <c:v>0.10100000000000002</c:v>
                </c:pt>
                <c:pt idx="4">
                  <c:v>0.15900000000000017</c:v>
                </c:pt>
                <c:pt idx="5">
                  <c:v>2.0000000000000026E-3</c:v>
                </c:pt>
                <c:pt idx="6">
                  <c:v>0.27900000000000008</c:v>
                </c:pt>
                <c:pt idx="7">
                  <c:v>8.7000000000000022E-2</c:v>
                </c:pt>
                <c:pt idx="8">
                  <c:v>3.4000000000000002E-2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47910151528820638"/>
          <c:y val="4.8346600017306618E-2"/>
          <c:w val="0.50745577861153535"/>
          <c:h val="0.90330679996538632"/>
        </c:manualLayout>
      </c:layout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zero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21"/>
  <c:chart>
    <c:autoTitleDeleted val="1"/>
    <c:plotArea>
      <c:layout/>
      <c:barChart>
        <c:barDir val="col"/>
        <c:grouping val="clustered"/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 sz="1050" smtClean="0">
                        <a:latin typeface="+mn-lt"/>
                      </a:rPr>
                      <a:t>1,9</a:t>
                    </a:r>
                    <a:r>
                      <a:rPr lang="pl-PL" sz="1050" smtClean="0">
                        <a:latin typeface="+mn-lt"/>
                      </a:rPr>
                      <a:t>%</a:t>
                    </a:r>
                    <a:endParaRPr lang="en-US" sz="1050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050" smtClean="0">
                        <a:latin typeface="+mn-lt"/>
                      </a:rPr>
                      <a:t>2</a:t>
                    </a:r>
                    <a:r>
                      <a:rPr lang="pl-PL" sz="1050" smtClean="0">
                        <a:latin typeface="+mn-lt"/>
                      </a:rPr>
                      <a:t>2</a:t>
                    </a:r>
                    <a:r>
                      <a:rPr lang="en-US" sz="1050" smtClean="0">
                        <a:latin typeface="+mn-lt"/>
                      </a:rPr>
                      <a:t>,0</a:t>
                    </a:r>
                    <a:r>
                      <a:rPr lang="pl-PL" sz="1050" smtClean="0">
                        <a:latin typeface="+mn-lt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0"/>
                  <c:y val="7.1942446043165515E-3"/>
                </c:manualLayout>
              </c:layout>
              <c:tx>
                <c:rich>
                  <a:bodyPr/>
                  <a:lstStyle/>
                  <a:p>
                    <a:r>
                      <a:rPr lang="en-US" sz="1050" smtClean="0">
                        <a:latin typeface="+mn-lt"/>
                      </a:rPr>
                      <a:t>7,4</a:t>
                    </a:r>
                    <a:r>
                      <a:rPr lang="pl-PL" sz="1050" smtClean="0">
                        <a:latin typeface="+mn-lt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050" smtClean="0">
                        <a:latin typeface="+mn-lt"/>
                      </a:rPr>
                      <a:t>1</a:t>
                    </a:r>
                    <a:r>
                      <a:rPr lang="pl-PL" sz="1050" smtClean="0">
                        <a:latin typeface="+mn-lt"/>
                      </a:rPr>
                      <a:t>6</a:t>
                    </a:r>
                    <a:r>
                      <a:rPr lang="en-US" sz="1050" smtClean="0">
                        <a:latin typeface="+mn-lt"/>
                      </a:rPr>
                      <a:t>,1</a:t>
                    </a:r>
                    <a:r>
                      <a:rPr lang="pl-PL" sz="1050" smtClean="0">
                        <a:latin typeface="+mn-lt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4"/>
              <c:layout>
                <c:manualLayout>
                  <c:x val="-6.617958951979325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050" smtClean="0">
                        <a:latin typeface="+mn-lt"/>
                      </a:rPr>
                      <a:t>3</a:t>
                    </a:r>
                    <a:r>
                      <a:rPr lang="pl-PL" sz="1050" smtClean="0">
                        <a:latin typeface="+mn-lt"/>
                      </a:rPr>
                      <a:t>0</a:t>
                    </a:r>
                    <a:r>
                      <a:rPr lang="en-US" sz="1050" smtClean="0">
                        <a:latin typeface="+mn-lt"/>
                      </a:rPr>
                      <a:t>,4</a:t>
                    </a:r>
                    <a:r>
                      <a:rPr lang="pl-PL" sz="1050" smtClean="0">
                        <a:latin typeface="+mn-lt"/>
                      </a:rPr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5"/>
              <c:layout>
                <c:manualLayout>
                  <c:x val="0"/>
                  <c:y val="3.5971223021582779E-3"/>
                </c:manualLayout>
              </c:layout>
              <c:tx>
                <c:rich>
                  <a:bodyPr/>
                  <a:lstStyle/>
                  <a:p>
                    <a:r>
                      <a:rPr lang="en-US" sz="1050" smtClean="0">
                        <a:latin typeface="+mn-lt"/>
                      </a:rPr>
                      <a:t>2</a:t>
                    </a:r>
                    <a:r>
                      <a:rPr lang="pl-PL" sz="1050" smtClean="0">
                        <a:latin typeface="+mn-lt"/>
                      </a:rPr>
                      <a:t>2</a:t>
                    </a:r>
                    <a:r>
                      <a:rPr lang="en-US" sz="1050" smtClean="0">
                        <a:latin typeface="+mn-lt"/>
                      </a:rPr>
                      <a:t>,3</a:t>
                    </a:r>
                    <a:r>
                      <a:rPr lang="pl-PL" sz="1050" smtClean="0">
                        <a:latin typeface="+mn-lt"/>
                      </a:rPr>
                      <a:t>%</a:t>
                    </a:r>
                    <a:endParaRPr lang="en-US" dirty="0"/>
                  </a:p>
                </c:rich>
              </c:tx>
              <c:showVal val="1"/>
            </c:dLbl>
            <c:numFmt formatCode="#,##0.0" sourceLinked="0"/>
            <c:txPr>
              <a:bodyPr/>
              <a:lstStyle/>
              <a:p>
                <a:pPr>
                  <a:defRPr sz="1050">
                    <a:latin typeface="+mn-lt"/>
                  </a:defRPr>
                </a:pPr>
                <a:endParaRPr lang="pl-PL"/>
              </a:p>
            </c:txPr>
            <c:showVal val="1"/>
          </c:dLbls>
          <c:cat>
            <c:strRef>
              <c:f>Arkusz1!$A$2:$A$7</c:f>
              <c:strCache>
                <c:ptCount val="6"/>
                <c:pt idx="0">
                  <c:v>gimnazjalne lub niższe</c:v>
                </c:pt>
                <c:pt idx="1">
                  <c:v>zasadnicze zawodwoe</c:v>
                </c:pt>
                <c:pt idx="2">
                  <c:v>średnie ogólnokształcące</c:v>
                </c:pt>
                <c:pt idx="3">
                  <c:v>średnie zawodowe lub policealne</c:v>
                </c:pt>
                <c:pt idx="4">
                  <c:v>wyższe</c:v>
                </c:pt>
                <c:pt idx="5">
                  <c:v>brak konkretnych oczekiwań</c:v>
                </c:pt>
              </c:strCache>
            </c:strRef>
          </c:cat>
          <c:val>
            <c:numRef>
              <c:f>Arkusz1!$B$2:$B$7</c:f>
              <c:numCache>
                <c:formatCode>General</c:formatCode>
                <c:ptCount val="6"/>
                <c:pt idx="0">
                  <c:v>1.9000000000000001</c:v>
                </c:pt>
                <c:pt idx="1">
                  <c:v>22</c:v>
                </c:pt>
                <c:pt idx="2">
                  <c:v>7.4</c:v>
                </c:pt>
                <c:pt idx="3">
                  <c:v>16.100000000000001</c:v>
                </c:pt>
                <c:pt idx="4">
                  <c:v>30.4</c:v>
                </c:pt>
                <c:pt idx="5">
                  <c:v>22.3</c:v>
                </c:pt>
              </c:numCache>
            </c:numRef>
          </c:val>
        </c:ser>
        <c:axId val="106833792"/>
        <c:axId val="106885504"/>
      </c:barChart>
      <c:catAx>
        <c:axId val="106833792"/>
        <c:scaling>
          <c:orientation val="minMax"/>
        </c:scaling>
        <c:axPos val="b"/>
        <c:tickLblPos val="nextTo"/>
        <c:crossAx val="106885504"/>
        <c:crosses val="autoZero"/>
        <c:auto val="1"/>
        <c:lblAlgn val="ctr"/>
        <c:lblOffset val="100"/>
      </c:catAx>
      <c:valAx>
        <c:axId val="106885504"/>
        <c:scaling>
          <c:orientation val="minMax"/>
        </c:scaling>
        <c:axPos val="l"/>
        <c:majorGridlines/>
        <c:numFmt formatCode="General" sourceLinked="1"/>
        <c:tickLblPos val="nextTo"/>
        <c:crossAx val="106833792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5"/>
  <c:chart>
    <c:autoTitleDeleted val="1"/>
    <c:plotArea>
      <c:layout/>
      <c:pie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Kolumna1</c:v>
                </c:pt>
              </c:strCache>
            </c:strRef>
          </c:tx>
          <c:dLbls>
            <c:dLbl>
              <c:idx val="0"/>
              <c:layout>
                <c:manualLayout>
                  <c:x val="-9.9578013259612602E-2"/>
                  <c:y val="4.8390515701177896E-2"/>
                </c:manualLayout>
              </c:layout>
              <c:tx>
                <c:rich>
                  <a:bodyPr/>
                  <a:lstStyle/>
                  <a:p>
                    <a:r>
                      <a:rPr lang="en-US" sz="1050" b="0" smtClean="0"/>
                      <a:t>44,6</a:t>
                    </a:r>
                    <a:r>
                      <a:rPr lang="pl-PL" sz="1050" b="0" smtClean="0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layout>
                <c:manualLayout>
                  <c:x val="7.3410456375233024E-2"/>
                  <c:y val="-0.24963330481785437"/>
                </c:manualLayout>
              </c:layout>
              <c:tx>
                <c:rich>
                  <a:bodyPr/>
                  <a:lstStyle/>
                  <a:p>
                    <a:r>
                      <a:rPr lang="en-US" sz="1050" b="0" smtClean="0"/>
                      <a:t>27,4</a:t>
                    </a:r>
                    <a:r>
                      <a:rPr lang="pl-PL" sz="1050" b="0" smtClean="0"/>
                      <a:t>%</a:t>
                    </a:r>
                    <a:endParaRPr lang="en-US"/>
                  </a:p>
                </c:rich>
              </c:tx>
              <c:showVal val="1"/>
            </c:dLbl>
            <c:dLbl>
              <c:idx val="2"/>
              <c:layout>
                <c:manualLayout>
                  <c:x val="8.6263513540872028E-2"/>
                  <c:y val="0.15406496986948504"/>
                </c:manualLayout>
              </c:layout>
              <c:tx>
                <c:rich>
                  <a:bodyPr/>
                  <a:lstStyle/>
                  <a:p>
                    <a:r>
                      <a:rPr lang="en-US" sz="1050" b="0" smtClean="0"/>
                      <a:t>27,9</a:t>
                    </a:r>
                    <a:r>
                      <a:rPr lang="pl-PL" sz="1050" b="0" smtClean="0"/>
                      <a:t>%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 sz="1050" b="0"/>
                </a:pPr>
                <a:endParaRPr lang="pl-PL"/>
              </a:p>
            </c:txPr>
            <c:showVal val="1"/>
            <c:showLeaderLines val="1"/>
          </c:dLbls>
          <c:cat>
            <c:strRef>
              <c:f>Arkusz1!$A$2:$A$5</c:f>
              <c:strCache>
                <c:ptCount val="3"/>
                <c:pt idx="0">
                  <c:v>tak</c:v>
                </c:pt>
                <c:pt idx="1">
                  <c:v>nie</c:v>
                </c:pt>
                <c:pt idx="2">
                  <c:v>trudno powiedzieć</c:v>
                </c:pt>
              </c:strCache>
            </c:strRef>
          </c:cat>
          <c:val>
            <c:numRef>
              <c:f>Arkusz1!$B$2:$B$5</c:f>
              <c:numCache>
                <c:formatCode>0.0</c:formatCode>
                <c:ptCount val="4"/>
                <c:pt idx="0">
                  <c:v>44.6</c:v>
                </c:pt>
                <c:pt idx="1">
                  <c:v>27.4</c:v>
                </c:pt>
                <c:pt idx="2">
                  <c:v>27.9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spPr>
    <a:noFill/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1"/>
  <c:chart>
    <c:plotArea>
      <c:layout>
        <c:manualLayout>
          <c:layoutTarget val="inner"/>
          <c:xMode val="edge"/>
          <c:yMode val="edge"/>
          <c:x val="0.48560915272408045"/>
          <c:y val="2.5698983572999354E-2"/>
          <c:w val="0.47316356477170007"/>
          <c:h val="0.92245950687105316"/>
        </c:manualLayout>
      </c:layout>
      <c:barChart>
        <c:barDir val="bar"/>
        <c:grouping val="clustered"/>
        <c:varyColors val="1"/>
        <c:ser>
          <c:idx val="0"/>
          <c:order val="0"/>
          <c:dLbls>
            <c:numFmt formatCode="0.0%" sourceLinked="0"/>
            <c:showVal val="1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Arkusz1!$C$16:$C$24</c:f>
              <c:strCache>
                <c:ptCount val="9"/>
                <c:pt idx="0">
                  <c:v>inne</c:v>
                </c:pt>
                <c:pt idx="1">
                  <c:v>kandydatom nie odpowiadają warunki pracy</c:v>
                </c:pt>
                <c:pt idx="2">
                  <c:v>brak osób z wymaganymi uprawnieniami</c:v>
                </c:pt>
                <c:pt idx="3">
                  <c:v>zbyt duże oczekiwania płacowe kandydatów</c:v>
                </c:pt>
                <c:pt idx="4">
                  <c:v>brak osób z odpowiednim doświadczeniem</c:v>
                </c:pt>
                <c:pt idx="5">
                  <c:v>brak osób z poszukiwanym zawodem</c:v>
                </c:pt>
                <c:pt idx="6">
                  <c:v>brak osób z odpowiednimi kompetencjami</c:v>
                </c:pt>
                <c:pt idx="7">
                  <c:v>niski poziom motywacji do pracy kandydatów</c:v>
                </c:pt>
                <c:pt idx="8">
                  <c:v>brak osób z odpowiednimi umiejętnościami zawodowymi</c:v>
                </c:pt>
              </c:strCache>
            </c:strRef>
          </c:cat>
          <c:val>
            <c:numRef>
              <c:f>Arkusz1!$D$16:$D$24</c:f>
              <c:numCache>
                <c:formatCode>0.00%</c:formatCode>
                <c:ptCount val="9"/>
                <c:pt idx="0">
                  <c:v>1.0999999999999998E-2</c:v>
                </c:pt>
                <c:pt idx="1">
                  <c:v>4.2000000000000023E-2</c:v>
                </c:pt>
                <c:pt idx="2">
                  <c:v>6.3E-2</c:v>
                </c:pt>
                <c:pt idx="3">
                  <c:v>0.10299999999999998</c:v>
                </c:pt>
                <c:pt idx="4">
                  <c:v>0.10400000000000002</c:v>
                </c:pt>
                <c:pt idx="5">
                  <c:v>0.12000000000000002</c:v>
                </c:pt>
                <c:pt idx="6">
                  <c:v>0.14700000000000021</c:v>
                </c:pt>
                <c:pt idx="7">
                  <c:v>0.15800000000000033</c:v>
                </c:pt>
                <c:pt idx="8">
                  <c:v>0.251</c:v>
                </c:pt>
              </c:numCache>
            </c:numRef>
          </c:val>
        </c:ser>
        <c:axId val="109532672"/>
        <c:axId val="109534208"/>
      </c:barChart>
      <c:catAx>
        <c:axId val="109532672"/>
        <c:scaling>
          <c:orientation val="minMax"/>
        </c:scaling>
        <c:axPos val="l"/>
        <c:numFmt formatCode="General" sourceLinked="0"/>
        <c:tickLblPos val="nextTo"/>
        <c:crossAx val="109534208"/>
        <c:crosses val="autoZero"/>
        <c:auto val="1"/>
        <c:lblAlgn val="ctr"/>
        <c:lblOffset val="100"/>
      </c:catAx>
      <c:valAx>
        <c:axId val="109534208"/>
        <c:scaling>
          <c:orientation val="minMax"/>
        </c:scaling>
        <c:axPos val="b"/>
        <c:majorGridlines/>
        <c:numFmt formatCode="0%" sourceLinked="0"/>
        <c:tickLblPos val="nextTo"/>
        <c:crossAx val="1095326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style val="21"/>
  <c:chart>
    <c:autoTitleDeleted val="1"/>
    <c:plotArea>
      <c:layout/>
      <c:barChart>
        <c:barDir val="bar"/>
        <c:grouping val="clustered"/>
        <c:varyColors val="1"/>
        <c:ser>
          <c:idx val="0"/>
          <c:order val="0"/>
          <c:dLbls>
            <c:dLbl>
              <c:idx val="6"/>
              <c:layout>
                <c:manualLayout>
                  <c:x val="-1.9444446570914979E-2"/>
                  <c:y val="0"/>
                </c:manualLayout>
              </c:layout>
              <c:showVal val="1"/>
            </c:dLbl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'p. 12.2'!$A$43:$A$49</c:f>
              <c:strCache>
                <c:ptCount val="7"/>
                <c:pt idx="0">
                  <c:v>inne</c:v>
                </c:pt>
                <c:pt idx="1">
                  <c:v>wsparcie wyspecjalizowanych firm doradztwa personalnego</c:v>
                </c:pt>
                <c:pt idx="2">
                  <c:v>korzystanie z nowych metod docierania do kandydatów podczas rekrutacji</c:v>
                </c:pt>
                <c:pt idx="3">
                  <c:v>podejmowanie współpracy z instytucjami edukacyjnymi</c:v>
                </c:pt>
                <c:pt idx="4">
                  <c:v>kreowanie pozytywnego wizerunku firmy</c:v>
                </c:pt>
                <c:pt idx="5">
                  <c:v>dodatkowe szkolenia i możliwość rozwoju dla obecnych pracowników</c:v>
                </c:pt>
                <c:pt idx="6">
                  <c:v>zatrudnianie osób, którym brakuje niektórych wymaganych umiejętności lub kwalifikacji, ale posiadają potencjał do ich zdobycia</c:v>
                </c:pt>
              </c:strCache>
            </c:strRef>
          </c:cat>
          <c:val>
            <c:numRef>
              <c:f>'p. 12.2'!$B$43:$B$49</c:f>
              <c:numCache>
                <c:formatCode>0.0%</c:formatCode>
                <c:ptCount val="7"/>
                <c:pt idx="0">
                  <c:v>0.14200000000000004</c:v>
                </c:pt>
                <c:pt idx="1">
                  <c:v>7.6999999999999999E-2</c:v>
                </c:pt>
                <c:pt idx="2">
                  <c:v>0.16700000000000001</c:v>
                </c:pt>
                <c:pt idx="3">
                  <c:v>0.20100000000000001</c:v>
                </c:pt>
                <c:pt idx="4">
                  <c:v>0.40800000000000008</c:v>
                </c:pt>
                <c:pt idx="5">
                  <c:v>0.45100000000000001</c:v>
                </c:pt>
                <c:pt idx="6">
                  <c:v>0.54700000000000004</c:v>
                </c:pt>
              </c:numCache>
            </c:numRef>
          </c:val>
        </c:ser>
        <c:gapWidth val="100"/>
        <c:axId val="109628416"/>
        <c:axId val="110875392"/>
      </c:barChart>
      <c:catAx>
        <c:axId val="109628416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 rot="-60000000" vert="horz"/>
          <a:lstStyle/>
          <a:p>
            <a:pPr>
              <a:defRPr/>
            </a:pPr>
            <a:endParaRPr lang="pl-PL"/>
          </a:p>
        </c:txPr>
        <c:crossAx val="110875392"/>
        <c:crosses val="autoZero"/>
        <c:auto val="1"/>
        <c:lblAlgn val="ctr"/>
        <c:lblOffset val="100"/>
      </c:catAx>
      <c:valAx>
        <c:axId val="110875392"/>
        <c:scaling>
          <c:orientation val="minMax"/>
        </c:scaling>
        <c:delete val="1"/>
        <c:axPos val="b"/>
        <c:numFmt formatCode="0.0%" sourceLinked="1"/>
        <c:majorTickMark val="none"/>
        <c:tickLblPos val="none"/>
        <c:crossAx val="109628416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1"/>
  <c:chart>
    <c:plotArea>
      <c:layout/>
      <c:barChart>
        <c:barDir val="col"/>
        <c:grouping val="clustered"/>
        <c:varyColors val="1"/>
        <c:ser>
          <c:idx val="0"/>
          <c:order val="0"/>
          <c:dLbls>
            <c:dLbl>
              <c:idx val="1"/>
              <c:layout>
                <c:manualLayout>
                  <c:x val="0"/>
                  <c:y val="-1.18911742206833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2.2059863173264451E-3"/>
                  <c:y val="-5.9455871103416781E-3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4119726346528894E-3"/>
                  <c:y val="8.9183806655125011E-3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0"/>
                  <c:y val="1.7836761331025009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2059863173264451E-3"/>
                  <c:y val="8.918380665512501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2.4265849490590862E-2"/>
                  <c:y val="2.378234844136669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0"/>
                  <c:y val="1.1891174220683358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2.2059863173264451E-3"/>
                  <c:y val="-1.1891174220683358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0"/>
                  <c:y val="5.9455871103416781E-3"/>
                </c:manualLayout>
              </c:layout>
              <c:dLblPos val="outEnd"/>
              <c:showVal val="1"/>
            </c:dLbl>
            <c:dLbl>
              <c:idx val="13"/>
              <c:layout>
                <c:manualLayout>
                  <c:x val="0"/>
                  <c:y val="1.7836527252792323E-2"/>
                </c:manualLayout>
              </c:layout>
              <c:dLblPos val="outEnd"/>
              <c:showVal val="1"/>
            </c:dLbl>
            <c:dLbl>
              <c:idx val="14"/>
              <c:layout>
                <c:manualLayout>
                  <c:x val="0"/>
                  <c:y val="1.486396777585417E-2"/>
                </c:manualLayout>
              </c:layout>
              <c:dLblPos val="outEnd"/>
              <c:showVal val="1"/>
            </c:dLbl>
            <c:dLbl>
              <c:idx val="15"/>
              <c:layout>
                <c:manualLayout>
                  <c:x val="2.2059863173264451E-3"/>
                  <c:y val="2.6755141996537508E-2"/>
                </c:manualLayout>
              </c:layout>
              <c:dLblPos val="outEnd"/>
              <c:showVal val="1"/>
            </c:dLbl>
            <c:dLbl>
              <c:idx val="17"/>
              <c:layout>
                <c:manualLayout>
                  <c:x val="-2.2059863173263649E-3"/>
                  <c:y val="1.486396777585422E-2"/>
                </c:manualLayout>
              </c:layout>
              <c:dLblPos val="outEnd"/>
              <c:showVal val="1"/>
            </c:dLbl>
            <c:dLbl>
              <c:idx val="19"/>
              <c:layout>
                <c:manualLayout>
                  <c:x val="0"/>
                  <c:y val="1.7836761331025009E-2"/>
                </c:manualLayout>
              </c:layout>
              <c:dLblPos val="outEnd"/>
              <c:showVal val="1"/>
            </c:dLbl>
            <c:dLbl>
              <c:idx val="20"/>
              <c:layout>
                <c:manualLayout>
                  <c:x val="-2.2059863173264451E-3"/>
                  <c:y val="-8.9183806655125011E-3"/>
                </c:manualLayout>
              </c:layout>
              <c:dLblPos val="outEnd"/>
              <c:showVal val="1"/>
            </c:dLbl>
            <c:dLbl>
              <c:idx val="21"/>
              <c:layout>
                <c:manualLayout>
                  <c:x val="0"/>
                  <c:y val="1.1891174220683304E-2"/>
                </c:manualLayout>
              </c:layout>
              <c:dLblPos val="outEnd"/>
              <c:showVal val="1"/>
            </c:dLbl>
            <c:dLbl>
              <c:idx val="22"/>
              <c:layout>
                <c:manualLayout>
                  <c:x val="0"/>
                  <c:y val="-5.9455871103417301E-3"/>
                </c:manualLayout>
              </c:layout>
              <c:dLblPos val="outEnd"/>
              <c:showVal val="1"/>
            </c:dLbl>
            <c:dLbl>
              <c:idx val="23"/>
              <c:layout>
                <c:manualLayout>
                  <c:x val="-2.2059863173264451E-3"/>
                  <c:y val="8.91838066551256E-3"/>
                </c:manualLayout>
              </c:layout>
              <c:dLblPos val="outEnd"/>
              <c:showVal val="1"/>
            </c:dLbl>
            <c:numFmt formatCode="#,##0" sourceLinked="0"/>
            <c:dLblPos val="outEnd"/>
            <c:showVal val="1"/>
          </c:dLbls>
          <c:cat>
            <c:strRef>
              <c:f>'lista branż'!$B$3:$B$28</c:f>
              <c:strCache>
                <c:ptCount val="26"/>
                <c:pt idx="0">
                  <c:v>ekonomiczno-administracyjne</c:v>
                </c:pt>
                <c:pt idx="1">
                  <c:v>gastronomiczne</c:v>
                </c:pt>
                <c:pt idx="2">
                  <c:v>informatyczne</c:v>
                </c:pt>
                <c:pt idx="3">
                  <c:v>usługowe</c:v>
                </c:pt>
                <c:pt idx="4">
                  <c:v>mechaniczne</c:v>
                </c:pt>
                <c:pt idx="5">
                  <c:v>samochodowe</c:v>
                </c:pt>
                <c:pt idx="6">
                  <c:v>budowlane</c:v>
                </c:pt>
                <c:pt idx="7">
                  <c:v>z obszaru społeczno-zdrowotnego</c:v>
                </c:pt>
                <c:pt idx="8">
                  <c:v>logistyczne</c:v>
                </c:pt>
                <c:pt idx="9">
                  <c:v>rolniczo-ogrodniczo-leśne</c:v>
                </c:pt>
                <c:pt idx="10">
                  <c:v>hotelarsko-turystyczne</c:v>
                </c:pt>
                <c:pt idx="11">
                  <c:v>związane z handlem</c:v>
                </c:pt>
                <c:pt idx="12">
                  <c:v>elektroniczne</c:v>
                </c:pt>
                <c:pt idx="13">
                  <c:v>elektryczno-energetyczne</c:v>
                </c:pt>
                <c:pt idx="14">
                  <c:v>poligraficzne</c:v>
                </c:pt>
                <c:pt idx="15">
                  <c:v>ochrony osób i mienia</c:v>
                </c:pt>
                <c:pt idx="16">
                  <c:v>inne</c:v>
                </c:pt>
                <c:pt idx="17">
                  <c:v>lotnicze</c:v>
                </c:pt>
                <c:pt idx="18">
                  <c:v>chemiczne</c:v>
                </c:pt>
                <c:pt idx="19">
                  <c:v>obróbki drewna</c:v>
                </c:pt>
                <c:pt idx="20">
                  <c:v>górniczo-gazownicze</c:v>
                </c:pt>
                <c:pt idx="21">
                  <c:v>krawieckie</c:v>
                </c:pt>
                <c:pt idx="22">
                  <c:v>przetwórstwa spożywczego</c:v>
                </c:pt>
                <c:pt idx="23">
                  <c:v>z obszaru kształtowania środowiska</c:v>
                </c:pt>
                <c:pt idx="24">
                  <c:v>obsługi kolei</c:v>
                </c:pt>
                <c:pt idx="25">
                  <c:v>obróbki szkła i ceramiki</c:v>
                </c:pt>
              </c:strCache>
            </c:strRef>
          </c:cat>
          <c:val>
            <c:numRef>
              <c:f>'lista branż'!$C$3:$C$28</c:f>
              <c:numCache>
                <c:formatCode>General</c:formatCode>
                <c:ptCount val="26"/>
                <c:pt idx="0">
                  <c:v>6396</c:v>
                </c:pt>
                <c:pt idx="1">
                  <c:v>5815</c:v>
                </c:pt>
                <c:pt idx="2">
                  <c:v>5561</c:v>
                </c:pt>
                <c:pt idx="3">
                  <c:v>5437</c:v>
                </c:pt>
                <c:pt idx="4">
                  <c:v>5239</c:v>
                </c:pt>
                <c:pt idx="5">
                  <c:v>4748</c:v>
                </c:pt>
                <c:pt idx="6">
                  <c:v>4743</c:v>
                </c:pt>
                <c:pt idx="7">
                  <c:v>3688</c:v>
                </c:pt>
                <c:pt idx="8">
                  <c:v>2745</c:v>
                </c:pt>
                <c:pt idx="9">
                  <c:v>2131</c:v>
                </c:pt>
                <c:pt idx="10">
                  <c:v>1912</c:v>
                </c:pt>
                <c:pt idx="11">
                  <c:v>1232</c:v>
                </c:pt>
                <c:pt idx="12">
                  <c:v>1148</c:v>
                </c:pt>
                <c:pt idx="13">
                  <c:v>1016</c:v>
                </c:pt>
                <c:pt idx="14">
                  <c:v>671</c:v>
                </c:pt>
                <c:pt idx="15">
                  <c:v>534</c:v>
                </c:pt>
                <c:pt idx="16">
                  <c:v>509</c:v>
                </c:pt>
                <c:pt idx="17">
                  <c:v>292</c:v>
                </c:pt>
                <c:pt idx="18">
                  <c:v>276</c:v>
                </c:pt>
                <c:pt idx="19">
                  <c:v>256</c:v>
                </c:pt>
                <c:pt idx="20">
                  <c:v>249</c:v>
                </c:pt>
                <c:pt idx="21">
                  <c:v>212</c:v>
                </c:pt>
                <c:pt idx="22">
                  <c:v>204</c:v>
                </c:pt>
                <c:pt idx="23">
                  <c:v>167</c:v>
                </c:pt>
                <c:pt idx="24">
                  <c:v>91</c:v>
                </c:pt>
                <c:pt idx="25">
                  <c:v>8</c:v>
                </c:pt>
              </c:numCache>
            </c:numRef>
          </c:val>
        </c:ser>
        <c:axId val="111538944"/>
        <c:axId val="113108480"/>
      </c:barChart>
      <c:catAx>
        <c:axId val="111538944"/>
        <c:scaling>
          <c:orientation val="minMax"/>
        </c:scaling>
        <c:axPos val="b"/>
        <c:tickLblPos val="nextTo"/>
        <c:crossAx val="113108480"/>
        <c:crosses val="autoZero"/>
        <c:auto val="1"/>
        <c:lblAlgn val="ctr"/>
        <c:lblOffset val="100"/>
      </c:catAx>
      <c:valAx>
        <c:axId val="113108480"/>
        <c:scaling>
          <c:orientation val="minMax"/>
        </c:scaling>
        <c:axPos val="l"/>
        <c:majorGridlines/>
        <c:numFmt formatCode="General" sourceLinked="1"/>
        <c:tickLblPos val="nextTo"/>
        <c:crossAx val="111538944"/>
        <c:crosses val="autoZero"/>
        <c:crossBetween val="between"/>
      </c:valAx>
    </c:plotArea>
    <c:plotVisOnly val="1"/>
    <c:dispBlanksAs val="gap"/>
  </c:chart>
  <c:spPr>
    <a:noFill/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21"/>
  <c:chart>
    <c:view3D>
      <c:rAngAx val="1"/>
    </c:view3D>
    <c:plotArea>
      <c:layout/>
      <c:bar3DChart>
        <c:barDir val="bar"/>
        <c:grouping val="percentStacked"/>
        <c:ser>
          <c:idx val="0"/>
          <c:order val="0"/>
          <c:tx>
            <c:strRef>
              <c:f>Arkusz1!$C$6</c:f>
              <c:strCache>
                <c:ptCount val="1"/>
                <c:pt idx="0">
                  <c:v>niska</c:v>
                </c:pt>
              </c:strCache>
            </c:strRef>
          </c:tx>
          <c:dLbls>
            <c:showVal val="1"/>
          </c:dLbls>
          <c:cat>
            <c:strRef>
              <c:f>Arkusz1!$B$7:$B$10</c:f>
              <c:strCache>
                <c:ptCount val="4"/>
                <c:pt idx="0">
                  <c:v>wiedza teoretyczna</c:v>
                </c:pt>
                <c:pt idx="1">
                  <c:v>umiejętności praktyczne</c:v>
                </c:pt>
                <c:pt idx="2">
                  <c:v>umiejętność pracy z ludźmi</c:v>
                </c:pt>
                <c:pt idx="3">
                  <c:v>motywacja do pracy</c:v>
                </c:pt>
              </c:strCache>
            </c:strRef>
          </c:cat>
          <c:val>
            <c:numRef>
              <c:f>Arkusz1!$C$7:$C$10</c:f>
              <c:numCache>
                <c:formatCode>General</c:formatCode>
                <c:ptCount val="4"/>
                <c:pt idx="0">
                  <c:v>7</c:v>
                </c:pt>
                <c:pt idx="1">
                  <c:v>8.1</c:v>
                </c:pt>
                <c:pt idx="2">
                  <c:v>2.8</c:v>
                </c:pt>
                <c:pt idx="3">
                  <c:v>4</c:v>
                </c:pt>
              </c:numCache>
            </c:numRef>
          </c:val>
        </c:ser>
        <c:ser>
          <c:idx val="1"/>
          <c:order val="1"/>
          <c:tx>
            <c:strRef>
              <c:f>Arkusz1!$D$6</c:f>
              <c:strCache>
                <c:ptCount val="1"/>
                <c:pt idx="0">
                  <c:v>raczej niska</c:v>
                </c:pt>
              </c:strCache>
            </c:strRef>
          </c:tx>
          <c:dLbls>
            <c:showVal val="1"/>
          </c:dLbls>
          <c:cat>
            <c:strRef>
              <c:f>Arkusz1!$B$7:$B$10</c:f>
              <c:strCache>
                <c:ptCount val="4"/>
                <c:pt idx="0">
                  <c:v>wiedza teoretyczna</c:v>
                </c:pt>
                <c:pt idx="1">
                  <c:v>umiejętności praktyczne</c:v>
                </c:pt>
                <c:pt idx="2">
                  <c:v>umiejętność pracy z ludźmi</c:v>
                </c:pt>
                <c:pt idx="3">
                  <c:v>motywacja do pracy</c:v>
                </c:pt>
              </c:strCache>
            </c:strRef>
          </c:cat>
          <c:val>
            <c:numRef>
              <c:f>Arkusz1!$D$7:$D$10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12.4</c:v>
                </c:pt>
                <c:pt idx="2">
                  <c:v>6.5</c:v>
                </c:pt>
                <c:pt idx="3">
                  <c:v>7.8</c:v>
                </c:pt>
              </c:numCache>
            </c:numRef>
          </c:val>
        </c:ser>
        <c:ser>
          <c:idx val="2"/>
          <c:order val="2"/>
          <c:tx>
            <c:strRef>
              <c:f>Arkusz1!$E$6</c:f>
              <c:strCache>
                <c:ptCount val="1"/>
                <c:pt idx="0">
                  <c:v>ani niska ani wysoka</c:v>
                </c:pt>
              </c:strCache>
            </c:strRef>
          </c:tx>
          <c:dLbls>
            <c:showVal val="1"/>
          </c:dLbls>
          <c:cat>
            <c:strRef>
              <c:f>Arkusz1!$B$7:$B$10</c:f>
              <c:strCache>
                <c:ptCount val="4"/>
                <c:pt idx="0">
                  <c:v>wiedza teoretyczna</c:v>
                </c:pt>
                <c:pt idx="1">
                  <c:v>umiejętności praktyczne</c:v>
                </c:pt>
                <c:pt idx="2">
                  <c:v>umiejętność pracy z ludźmi</c:v>
                </c:pt>
                <c:pt idx="3">
                  <c:v>motywacja do pracy</c:v>
                </c:pt>
              </c:strCache>
            </c:strRef>
          </c:cat>
          <c:val>
            <c:numRef>
              <c:f>Arkusz1!$E$7:$E$10</c:f>
              <c:numCache>
                <c:formatCode>General</c:formatCode>
                <c:ptCount val="4"/>
                <c:pt idx="0">
                  <c:v>32.5</c:v>
                </c:pt>
                <c:pt idx="1">
                  <c:v>31.1</c:v>
                </c:pt>
                <c:pt idx="2">
                  <c:v>29.3</c:v>
                </c:pt>
                <c:pt idx="3">
                  <c:v>28.9</c:v>
                </c:pt>
              </c:numCache>
            </c:numRef>
          </c:val>
        </c:ser>
        <c:ser>
          <c:idx val="3"/>
          <c:order val="3"/>
          <c:tx>
            <c:strRef>
              <c:f>Arkusz1!$F$6</c:f>
              <c:strCache>
                <c:ptCount val="1"/>
                <c:pt idx="0">
                  <c:v>raczej wysoka</c:v>
                </c:pt>
              </c:strCache>
            </c:strRef>
          </c:tx>
          <c:dLbls>
            <c:showVal val="1"/>
          </c:dLbls>
          <c:cat>
            <c:strRef>
              <c:f>Arkusz1!$B$7:$B$10</c:f>
              <c:strCache>
                <c:ptCount val="4"/>
                <c:pt idx="0">
                  <c:v>wiedza teoretyczna</c:v>
                </c:pt>
                <c:pt idx="1">
                  <c:v>umiejętności praktyczne</c:v>
                </c:pt>
                <c:pt idx="2">
                  <c:v>umiejętność pracy z ludźmi</c:v>
                </c:pt>
                <c:pt idx="3">
                  <c:v>motywacja do pracy</c:v>
                </c:pt>
              </c:strCache>
            </c:strRef>
          </c:cat>
          <c:val>
            <c:numRef>
              <c:f>Arkusz1!$F$7:$F$10</c:f>
              <c:numCache>
                <c:formatCode>General</c:formatCode>
                <c:ptCount val="4"/>
                <c:pt idx="0">
                  <c:v>32.6</c:v>
                </c:pt>
                <c:pt idx="1">
                  <c:v>28.7</c:v>
                </c:pt>
                <c:pt idx="2">
                  <c:v>39</c:v>
                </c:pt>
                <c:pt idx="3">
                  <c:v>36.1</c:v>
                </c:pt>
              </c:numCache>
            </c:numRef>
          </c:val>
        </c:ser>
        <c:ser>
          <c:idx val="4"/>
          <c:order val="4"/>
          <c:tx>
            <c:strRef>
              <c:f>Arkusz1!$G$6</c:f>
              <c:strCache>
                <c:ptCount val="1"/>
                <c:pt idx="0">
                  <c:v>wysoka</c:v>
                </c:pt>
              </c:strCache>
            </c:strRef>
          </c:tx>
          <c:dLbls>
            <c:showVal val="1"/>
          </c:dLbls>
          <c:cat>
            <c:strRef>
              <c:f>Arkusz1!$B$7:$B$10</c:f>
              <c:strCache>
                <c:ptCount val="4"/>
                <c:pt idx="0">
                  <c:v>wiedza teoretyczna</c:v>
                </c:pt>
                <c:pt idx="1">
                  <c:v>umiejętności praktyczne</c:v>
                </c:pt>
                <c:pt idx="2">
                  <c:v>umiejętność pracy z ludźmi</c:v>
                </c:pt>
                <c:pt idx="3">
                  <c:v>motywacja do pracy</c:v>
                </c:pt>
              </c:strCache>
            </c:strRef>
          </c:cat>
          <c:val>
            <c:numRef>
              <c:f>Arkusz1!$G$7:$G$10</c:f>
              <c:numCache>
                <c:formatCode>General</c:formatCode>
                <c:ptCount val="4"/>
                <c:pt idx="0">
                  <c:v>18.100000000000001</c:v>
                </c:pt>
                <c:pt idx="1">
                  <c:v>19.7</c:v>
                </c:pt>
                <c:pt idx="2">
                  <c:v>22.3</c:v>
                </c:pt>
                <c:pt idx="3">
                  <c:v>23.1</c:v>
                </c:pt>
              </c:numCache>
            </c:numRef>
          </c:val>
        </c:ser>
        <c:shape val="cylinder"/>
        <c:axId val="111311488"/>
        <c:axId val="111337856"/>
        <c:axId val="0"/>
      </c:bar3DChart>
      <c:catAx>
        <c:axId val="111311488"/>
        <c:scaling>
          <c:orientation val="maxMin"/>
        </c:scaling>
        <c:axPos val="l"/>
        <c:tickLblPos val="nextTo"/>
        <c:crossAx val="111337856"/>
        <c:crosses val="autoZero"/>
        <c:auto val="1"/>
        <c:lblAlgn val="ctr"/>
        <c:lblOffset val="100"/>
      </c:catAx>
      <c:valAx>
        <c:axId val="111337856"/>
        <c:scaling>
          <c:orientation val="minMax"/>
        </c:scaling>
        <c:axPos val="t"/>
        <c:majorGridlines/>
        <c:numFmt formatCode="0%" sourceLinked="1"/>
        <c:tickLblPos val="nextTo"/>
        <c:crossAx val="111311488"/>
        <c:crosses val="autoZero"/>
        <c:crossBetween val="between"/>
      </c:valAx>
    </c:plotArea>
    <c:legend>
      <c:legendPos val="b"/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0.23489</cdr:x>
      <cdr:y>0.2201</cdr:y>
    </cdr:from>
    <cdr:to>
      <cdr:x>0.33197</cdr:x>
      <cdr:y>0.34715</cdr:y>
    </cdr:to>
    <cdr:sp macro="" textlink="">
      <cdr:nvSpPr>
        <cdr:cNvPr id="5" name="Elipsa 4"/>
        <cdr:cNvSpPr/>
      </cdr:nvSpPr>
      <cdr:spPr>
        <a:xfrm xmlns:a="http://schemas.openxmlformats.org/drawingml/2006/main">
          <a:off x="1353134" y="692802"/>
          <a:ext cx="559251" cy="39991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0.54607</cdr:x>
      <cdr:y>0.33921</cdr:y>
    </cdr:from>
    <cdr:to>
      <cdr:x>0.64314</cdr:x>
      <cdr:y>0.46626</cdr:y>
    </cdr:to>
    <cdr:sp macro="" textlink="">
      <cdr:nvSpPr>
        <cdr:cNvPr id="6" name="Elipsa 5"/>
        <cdr:cNvSpPr/>
      </cdr:nvSpPr>
      <cdr:spPr>
        <a:xfrm xmlns:a="http://schemas.openxmlformats.org/drawingml/2006/main">
          <a:off x="3145756" y="1067736"/>
          <a:ext cx="559193" cy="399915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19050" cap="rnd" cmpd="sng" algn="ctr">
          <a:solidFill>
            <a:schemeClr val="tx2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entury Gothic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entury Gothic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entury Gothic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entury Gothic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entury Gothic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entury Gothic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entury Gothic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entury Gothic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entury Gothic"/>
            </a:defRPr>
          </a:lvl9pPr>
        </a:lstStyle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0.39797</cdr:x>
      <cdr:y>0.06978</cdr:y>
    </cdr:from>
    <cdr:to>
      <cdr:x>0.56152</cdr:x>
      <cdr:y>0.24855</cdr:y>
    </cdr:to>
    <cdr:sp macro="" textlink="">
      <cdr:nvSpPr>
        <cdr:cNvPr id="7" name="Elipsa 6"/>
        <cdr:cNvSpPr/>
      </cdr:nvSpPr>
      <cdr:spPr>
        <a:xfrm xmlns:a="http://schemas.openxmlformats.org/drawingml/2006/main">
          <a:off x="2292575" y="219649"/>
          <a:ext cx="942182" cy="562696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3">
            <a:lumMod val="60000"/>
            <a:lumOff val="40000"/>
          </a:schemeClr>
        </a:solidFill>
        <a:ln xmlns:a="http://schemas.openxmlformats.org/drawingml/2006/main" w="19050" cap="rnd" cmpd="sng" algn="ctr">
          <a:solidFill>
            <a:schemeClr val="tx2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entury Gothic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entury Gothic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entury Gothic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entury Gothic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entury Gothic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entury Gothic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entury Gothic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entury Gothic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entury Gothic"/>
            </a:defRPr>
          </a:lvl9pPr>
        </a:lstStyle>
        <a:p xmlns:a="http://schemas.openxmlformats.org/drawingml/2006/main">
          <a:pPr algn="ctr"/>
          <a:r>
            <a:rPr lang="pl-PL" sz="1100" b="1" dirty="0" smtClean="0">
              <a:solidFill>
                <a:schemeClr val="tx1"/>
              </a:solidFill>
              <a:latin typeface="+mn-lt"/>
            </a:rPr>
            <a:t>38,2%</a:t>
          </a:r>
          <a:endParaRPr lang="pl-PL" sz="1100" b="1" dirty="0">
            <a:solidFill>
              <a:schemeClr val="tx1"/>
            </a:solidFill>
            <a:latin typeface="+mn-lt"/>
          </a:endParaRPr>
        </a:p>
      </cdr:txBody>
    </cdr:sp>
  </cdr:relSizeAnchor>
  <cdr:relSizeAnchor xmlns:cdr="http://schemas.openxmlformats.org/drawingml/2006/chartDrawing">
    <cdr:from>
      <cdr:x>0.31775</cdr:x>
      <cdr:y>0.15916</cdr:y>
    </cdr:from>
    <cdr:to>
      <cdr:x>0.39797</cdr:x>
      <cdr:y>0.2387</cdr:y>
    </cdr:to>
    <cdr:cxnSp macro="">
      <cdr:nvCxnSpPr>
        <cdr:cNvPr id="2" name="Łącznik prostoliniowy 1"/>
        <cdr:cNvCxnSpPr>
          <a:stCxn xmlns:a="http://schemas.openxmlformats.org/drawingml/2006/main" id="5" idx="7"/>
          <a:endCxn xmlns:a="http://schemas.openxmlformats.org/drawingml/2006/main" id="7" idx="2"/>
        </cdr:cNvCxnSpPr>
      </cdr:nvCxnSpPr>
      <cdr:spPr>
        <a:xfrm xmlns:a="http://schemas.openxmlformats.org/drawingml/2006/main" flipV="1">
          <a:off x="1830485" y="500997"/>
          <a:ext cx="462090" cy="250371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0.53757</cdr:x>
      <cdr:y>0.22237</cdr:y>
    </cdr:from>
    <cdr:to>
      <cdr:x>0.59461</cdr:x>
      <cdr:y>0.33921</cdr:y>
    </cdr:to>
    <cdr:cxnSp macro="">
      <cdr:nvCxnSpPr>
        <cdr:cNvPr id="8" name="Łącznik prostoliniowy 7"/>
        <cdr:cNvCxnSpPr>
          <a:stCxn xmlns:a="http://schemas.openxmlformats.org/drawingml/2006/main" id="6" idx="0"/>
          <a:endCxn xmlns:a="http://schemas.openxmlformats.org/drawingml/2006/main" id="7" idx="5"/>
        </cdr:cNvCxnSpPr>
      </cdr:nvCxnSpPr>
      <cdr:spPr>
        <a:xfrm xmlns:a="http://schemas.openxmlformats.org/drawingml/2006/main" flipH="1" flipV="1">
          <a:off x="3096778" y="699940"/>
          <a:ext cx="328575" cy="367796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0.8654</cdr:x>
      <cdr:y>0.02137</cdr:y>
    </cdr:from>
    <cdr:to>
      <cdr:x>0.96974</cdr:x>
      <cdr:y>0.09842</cdr:y>
    </cdr:to>
    <cdr:sp macro="" textlink="">
      <cdr:nvSpPr>
        <cdr:cNvPr id="2" name="Elipsa 1"/>
        <cdr:cNvSpPr/>
      </cdr:nvSpPr>
      <cdr:spPr>
        <a:xfrm xmlns:a="http://schemas.openxmlformats.org/drawingml/2006/main">
          <a:off x="4986452" y="102478"/>
          <a:ext cx="601206" cy="36954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pl-PL"/>
        </a:p>
      </cdr:txBody>
    </cdr:sp>
  </cdr:relSizeAnchor>
  <cdr:relSizeAnchor xmlns:cdr="http://schemas.openxmlformats.org/drawingml/2006/chartDrawing">
    <cdr:from>
      <cdr:x>0.74235</cdr:x>
      <cdr:y>0.7341</cdr:y>
    </cdr:from>
    <cdr:to>
      <cdr:x>0.99937</cdr:x>
      <cdr:y>0.92389</cdr:y>
    </cdr:to>
    <cdr:sp macro="" textlink="">
      <cdr:nvSpPr>
        <cdr:cNvPr id="7" name="Elipsa 6"/>
        <cdr:cNvSpPr/>
      </cdr:nvSpPr>
      <cdr:spPr>
        <a:xfrm xmlns:a="http://schemas.openxmlformats.org/drawingml/2006/main">
          <a:off x="4276499" y="4346408"/>
          <a:ext cx="1480563" cy="1123697"/>
        </a:xfrm>
        <a:prstGeom xmlns:a="http://schemas.openxmlformats.org/drawingml/2006/main" prst="ellipse">
          <a:avLst/>
        </a:prstGeom>
        <a:solidFill xmlns:a="http://schemas.openxmlformats.org/drawingml/2006/main">
          <a:schemeClr val="accent3">
            <a:lumMod val="60000"/>
            <a:lumOff val="40000"/>
          </a:schemeClr>
        </a:solidFill>
        <a:ln xmlns:a="http://schemas.openxmlformats.org/drawingml/2006/main" w="19050" cap="rnd" cmpd="sng" algn="ctr">
          <a:solidFill>
            <a:schemeClr val="tx2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entury Gothic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entury Gothic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entury Gothic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entury Gothic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entury Gothic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entury Gothic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entury Gothic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entury Gothic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entury Gothic"/>
            </a:defRPr>
          </a:lvl9pPr>
        </a:lstStyle>
        <a:p xmlns:a="http://schemas.openxmlformats.org/drawingml/2006/main">
          <a:pPr algn="ctr">
            <a:spcBef>
              <a:spcPts val="0"/>
            </a:spcBef>
          </a:pPr>
          <a:r>
            <a:rPr lang="pl-PL" sz="1050" b="1" dirty="0" smtClean="0">
              <a:solidFill>
                <a:schemeClr val="tx1"/>
              </a:solidFill>
            </a:rPr>
            <a:t>68,5%</a:t>
          </a:r>
          <a:r>
            <a:rPr lang="pl-PL" sz="1050" b="0" dirty="0" smtClean="0">
              <a:solidFill>
                <a:schemeClr val="tx1"/>
              </a:solidFill>
            </a:rPr>
            <a:t> </a:t>
          </a:r>
          <a:r>
            <a:rPr lang="pl-PL" sz="1050" b="1" dirty="0" smtClean="0">
              <a:solidFill>
                <a:schemeClr val="tx1"/>
              </a:solidFill>
            </a:rPr>
            <a:t>wskazań</a:t>
          </a:r>
          <a:r>
            <a:rPr lang="pl-PL" sz="1050" b="0" dirty="0" smtClean="0">
              <a:solidFill>
                <a:schemeClr val="tx1"/>
              </a:solidFill>
            </a:rPr>
            <a:t> </a:t>
          </a:r>
          <a:r>
            <a:rPr lang="pl-PL" sz="1050" b="1" dirty="0" smtClean="0">
              <a:solidFill>
                <a:schemeClr val="tx1"/>
              </a:solidFill>
            </a:rPr>
            <a:t>dotyczy</a:t>
          </a:r>
          <a:r>
            <a:rPr lang="pl-PL" sz="1050" b="0" dirty="0" smtClean="0">
              <a:solidFill>
                <a:schemeClr val="tx1"/>
              </a:solidFill>
            </a:rPr>
            <a:t> </a:t>
          </a:r>
          <a:r>
            <a:rPr lang="pl-PL" sz="1050" b="1" dirty="0" smtClean="0">
              <a:solidFill>
                <a:schemeClr val="tx1"/>
              </a:solidFill>
            </a:rPr>
            <a:t>kwalifikacji</a:t>
          </a:r>
          <a:endParaRPr lang="pl-PL" sz="1050" b="1" dirty="0">
            <a:solidFill>
              <a:schemeClr val="tx1"/>
            </a:solidFill>
          </a:endParaRPr>
        </a:p>
      </cdr:txBody>
    </cdr:sp>
  </cdr:relSizeAnchor>
  <cdr:relSizeAnchor xmlns:cdr="http://schemas.openxmlformats.org/drawingml/2006/chartDrawing">
    <cdr:from>
      <cdr:x>0.69953</cdr:x>
      <cdr:y>0.22876</cdr:y>
    </cdr:from>
    <cdr:to>
      <cdr:x>0.80387</cdr:x>
      <cdr:y>0.30581</cdr:y>
    </cdr:to>
    <cdr:sp macro="" textlink="">
      <cdr:nvSpPr>
        <cdr:cNvPr id="8" name="Elipsa 7"/>
        <cdr:cNvSpPr/>
      </cdr:nvSpPr>
      <cdr:spPr>
        <a:xfrm xmlns:a="http://schemas.openxmlformats.org/drawingml/2006/main">
          <a:off x="4030702" y="1097151"/>
          <a:ext cx="601207" cy="36954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0.65238</cdr:x>
      <cdr:y>0.33483</cdr:y>
    </cdr:from>
    <cdr:to>
      <cdr:x>0.75672</cdr:x>
      <cdr:y>0.41188</cdr:y>
    </cdr:to>
    <cdr:sp macro="" textlink="">
      <cdr:nvSpPr>
        <cdr:cNvPr id="9" name="Elipsa 8"/>
        <cdr:cNvSpPr/>
      </cdr:nvSpPr>
      <cdr:spPr>
        <a:xfrm xmlns:a="http://schemas.openxmlformats.org/drawingml/2006/main">
          <a:off x="3759034" y="1605912"/>
          <a:ext cx="601206" cy="36954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0.63603</cdr:x>
      <cdr:y>0.44158</cdr:y>
    </cdr:from>
    <cdr:to>
      <cdr:x>0.74037</cdr:x>
      <cdr:y>0.51863</cdr:y>
    </cdr:to>
    <cdr:sp macro="" textlink="">
      <cdr:nvSpPr>
        <cdr:cNvPr id="10" name="Elipsa 9"/>
        <cdr:cNvSpPr/>
      </cdr:nvSpPr>
      <cdr:spPr>
        <a:xfrm xmlns:a="http://schemas.openxmlformats.org/drawingml/2006/main">
          <a:off x="3664818" y="2117897"/>
          <a:ext cx="601206" cy="36954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0.56794</cdr:x>
      <cdr:y>0.6519</cdr:y>
    </cdr:from>
    <cdr:to>
      <cdr:x>0.67228</cdr:x>
      <cdr:y>0.72895</cdr:y>
    </cdr:to>
    <cdr:sp macro="" textlink="">
      <cdr:nvSpPr>
        <cdr:cNvPr id="11" name="Elipsa 10"/>
        <cdr:cNvSpPr/>
      </cdr:nvSpPr>
      <cdr:spPr>
        <a:xfrm xmlns:a="http://schemas.openxmlformats.org/drawingml/2006/main">
          <a:off x="3272465" y="3126598"/>
          <a:ext cx="601207" cy="369544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0.87086</cdr:x>
      <cdr:y>0.09842</cdr:y>
    </cdr:from>
    <cdr:to>
      <cdr:x>0.91757</cdr:x>
      <cdr:y>0.7341</cdr:y>
    </cdr:to>
    <cdr:cxnSp macro="">
      <cdr:nvCxnSpPr>
        <cdr:cNvPr id="13" name="Łącznik prostoliniowy 12"/>
        <cdr:cNvCxnSpPr>
          <a:stCxn xmlns:a="http://schemas.openxmlformats.org/drawingml/2006/main" id="2" idx="4"/>
          <a:endCxn xmlns:a="http://schemas.openxmlformats.org/drawingml/2006/main" id="7" idx="0"/>
        </cdr:cNvCxnSpPr>
      </cdr:nvCxnSpPr>
      <cdr:spPr>
        <a:xfrm xmlns:a="http://schemas.openxmlformats.org/drawingml/2006/main" flipH="1">
          <a:off x="5017887" y="472022"/>
          <a:ext cx="269168" cy="304883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0.78859</cdr:x>
      <cdr:y>0.29452</cdr:y>
    </cdr:from>
    <cdr:to>
      <cdr:x>0.87086</cdr:x>
      <cdr:y>0.7341</cdr:y>
    </cdr:to>
    <cdr:cxnSp macro="">
      <cdr:nvCxnSpPr>
        <cdr:cNvPr id="14" name="Łącznik prostoliniowy 13"/>
        <cdr:cNvCxnSpPr>
          <a:stCxn xmlns:a="http://schemas.openxmlformats.org/drawingml/2006/main" id="8" idx="5"/>
          <a:endCxn xmlns:a="http://schemas.openxmlformats.org/drawingml/2006/main" id="7" idx="0"/>
        </cdr:cNvCxnSpPr>
      </cdr:nvCxnSpPr>
      <cdr:spPr>
        <a:xfrm xmlns:a="http://schemas.openxmlformats.org/drawingml/2006/main">
          <a:off x="4543864" y="1412577"/>
          <a:ext cx="474023" cy="2108275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0.74144</cdr:x>
      <cdr:y>0.4006</cdr:y>
    </cdr:from>
    <cdr:to>
      <cdr:x>0.87086</cdr:x>
      <cdr:y>0.7341</cdr:y>
    </cdr:to>
    <cdr:cxnSp macro="">
      <cdr:nvCxnSpPr>
        <cdr:cNvPr id="17" name="Łącznik prostoliniowy 16"/>
        <cdr:cNvCxnSpPr>
          <a:stCxn xmlns:a="http://schemas.openxmlformats.org/drawingml/2006/main" id="9" idx="5"/>
          <a:endCxn xmlns:a="http://schemas.openxmlformats.org/drawingml/2006/main" id="7" idx="0"/>
        </cdr:cNvCxnSpPr>
      </cdr:nvCxnSpPr>
      <cdr:spPr>
        <a:xfrm xmlns:a="http://schemas.openxmlformats.org/drawingml/2006/main">
          <a:off x="4272195" y="1921338"/>
          <a:ext cx="745692" cy="1599514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0.72509</cdr:x>
      <cdr:y>0.50735</cdr:y>
    </cdr:from>
    <cdr:to>
      <cdr:x>0.87086</cdr:x>
      <cdr:y>0.7341</cdr:y>
    </cdr:to>
    <cdr:cxnSp macro="">
      <cdr:nvCxnSpPr>
        <cdr:cNvPr id="21" name="Łącznik prostoliniowy 20"/>
        <cdr:cNvCxnSpPr>
          <a:stCxn xmlns:a="http://schemas.openxmlformats.org/drawingml/2006/main" id="10" idx="5"/>
          <a:endCxn xmlns:a="http://schemas.openxmlformats.org/drawingml/2006/main" id="7" idx="0"/>
        </cdr:cNvCxnSpPr>
      </cdr:nvCxnSpPr>
      <cdr:spPr>
        <a:xfrm xmlns:a="http://schemas.openxmlformats.org/drawingml/2006/main">
          <a:off x="4177979" y="2433323"/>
          <a:ext cx="839908" cy="1087529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0.67228</cdr:x>
      <cdr:y>0.69042</cdr:y>
    </cdr:from>
    <cdr:to>
      <cdr:x>0.87086</cdr:x>
      <cdr:y>0.7341</cdr:y>
    </cdr:to>
    <cdr:cxnSp macro="">
      <cdr:nvCxnSpPr>
        <cdr:cNvPr id="25" name="Łącznik prostoliniowy 24"/>
        <cdr:cNvCxnSpPr>
          <a:stCxn xmlns:a="http://schemas.openxmlformats.org/drawingml/2006/main" id="11" idx="6"/>
          <a:endCxn xmlns:a="http://schemas.openxmlformats.org/drawingml/2006/main" id="7" idx="0"/>
        </cdr:cNvCxnSpPr>
      </cdr:nvCxnSpPr>
      <cdr:spPr>
        <a:xfrm xmlns:a="http://schemas.openxmlformats.org/drawingml/2006/main">
          <a:off x="3873672" y="3311370"/>
          <a:ext cx="1144215" cy="209482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2">
              <a:lumMod val="75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0.62152</cdr:x>
      <cdr:y>0.44858</cdr:y>
    </cdr:from>
    <cdr:to>
      <cdr:x>0.71087</cdr:x>
      <cdr:y>0.56201</cdr:y>
    </cdr:to>
    <cdr:sp macro="" textlink="">
      <cdr:nvSpPr>
        <cdr:cNvPr id="2" name="Elipsa 1"/>
        <cdr:cNvSpPr/>
      </cdr:nvSpPr>
      <cdr:spPr>
        <a:xfrm xmlns:a="http://schemas.openxmlformats.org/drawingml/2006/main">
          <a:off x="3580416" y="1338507"/>
          <a:ext cx="514721" cy="338459"/>
        </a:xfrm>
        <a:prstGeom xmlns:a="http://schemas.openxmlformats.org/drawingml/2006/main" prst="ellipse">
          <a:avLst/>
        </a:prstGeom>
        <a:noFill xmlns:a="http://schemas.openxmlformats.org/drawingml/2006/main"/>
        <a:ln xmlns:a="http://schemas.openxmlformats.org/drawingml/2006/main" w="19050" cap="rnd" cmpd="sng" algn="ctr">
          <a:solidFill>
            <a:schemeClr val="tx2">
              <a:lumMod val="75000"/>
            </a:schemeClr>
          </a:solidFill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en-US"/>
          </a:defPPr>
          <a:lvl1pPr marL="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1pPr>
          <a:lvl2pPr marL="4572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2pPr>
          <a:lvl3pPr marL="9144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3pPr>
          <a:lvl4pPr marL="13716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4pPr>
          <a:lvl5pPr marL="18288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5pPr>
          <a:lvl6pPr marL="22860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6pPr>
          <a:lvl7pPr marL="27432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7pPr>
          <a:lvl8pPr marL="32004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8pPr>
          <a:lvl9pPr marL="3657600" algn="l" defTabSz="457200" rtl="0" eaLnBrk="1" latinLnBrk="0" hangingPunct="1">
            <a:defRPr sz="1800" kern="1200">
              <a:solidFill>
                <a:sysClr val="window" lastClr="FFFFFF"/>
              </a:solidFill>
              <a:latin typeface="Century Gothic"/>
            </a:defRPr>
          </a:lvl9pPr>
        </a:lstStyle>
        <a:p xmlns:a="http://schemas.openxmlformats.org/drawingml/2006/main">
          <a:pPr algn="ctr"/>
          <a:endParaRPr lang="pl-PL"/>
        </a:p>
      </cdr:txBody>
    </cdr:sp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9A4ED-DC73-466D-B11E-ADD7E6835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5169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Autor</cp:lastModifiedBy>
  <cp:revision>5</cp:revision>
  <cp:lastPrinted>2018-11-15T07:18:00Z</cp:lastPrinted>
  <dcterms:created xsi:type="dcterms:W3CDTF">2018-11-15T07:05:00Z</dcterms:created>
  <dcterms:modified xsi:type="dcterms:W3CDTF">2018-11-15T07:21:00Z</dcterms:modified>
</cp:coreProperties>
</file>